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F" w:rsidRPr="006C5383" w:rsidRDefault="006C5383" w:rsidP="0070526F">
      <w:pPr>
        <w:spacing w:after="0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Nr. ____ </w:t>
      </w:r>
      <w:r w:rsidR="0070526F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Prot.</w:t>
      </w:r>
    </w:p>
    <w:p w:rsidR="0070526F" w:rsidRPr="006C5383" w:rsidRDefault="0070526F" w:rsidP="0070526F">
      <w:pPr>
        <w:spacing w:after="0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u w:val="single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u w:val="single"/>
        </w:rPr>
        <w:t>KONTRATË  SHËRBIMI</w:t>
      </w:r>
    </w:p>
    <w:p w:rsidR="0070526F" w:rsidRPr="006C5383" w:rsidRDefault="0070526F" w:rsidP="0070526F">
      <w:pPr>
        <w:spacing w:after="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u w:val="single"/>
        </w:rPr>
      </w:pPr>
    </w:p>
    <w:p w:rsidR="0070526F" w:rsidRPr="006C5383" w:rsidRDefault="0070526F" w:rsidP="0070526F">
      <w:pPr>
        <w:spacing w:after="0"/>
        <w:jc w:val="center"/>
        <w:rPr>
          <w:rFonts w:ascii="Verdana" w:eastAsia="Times New Roman" w:hAnsi="Verdana" w:cs="Arial"/>
          <w:color w:val="0D0D0D" w:themeColor="text1" w:themeTint="F2"/>
          <w:sz w:val="20"/>
          <w:szCs w:val="20"/>
          <w:u w:val="single"/>
        </w:rPr>
      </w:pPr>
    </w:p>
    <w:p w:rsidR="0070526F" w:rsidRDefault="0070526F" w:rsidP="0070526F">
      <w:pPr>
        <w:spacing w:after="0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E lidhur sot, në datë ___.__.2018, ndërmjet palëve të mëposhtme: </w:t>
      </w:r>
    </w:p>
    <w:p w:rsidR="005908F5" w:rsidRPr="006C5383" w:rsidRDefault="005908F5" w:rsidP="0070526F">
      <w:pPr>
        <w:spacing w:after="0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/>
        <w:jc w:val="both"/>
        <w:rPr>
          <w:rFonts w:ascii="Verdana" w:eastAsia="Times New Roman" w:hAnsi="Verdana" w:cs="Arial"/>
          <w:i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1.__________________________, anëtar i Institutit të Ekspertëve Kontabël të Autorizuar, që më poshtë do të quhet OFRUESI I SHËRBIMIT</w:t>
      </w:r>
    </w:p>
    <w:p w:rsidR="0070526F" w:rsidRPr="006C5383" w:rsidRDefault="0070526F" w:rsidP="0070526F">
      <w:pPr>
        <w:spacing w:after="0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/>
        <w:jc w:val="center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DHE </w:t>
      </w:r>
    </w:p>
    <w:p w:rsidR="0070526F" w:rsidRPr="006C5383" w:rsidRDefault="0070526F" w:rsidP="0070526F">
      <w:pPr>
        <w:spacing w:after="0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2. </w:t>
      </w:r>
      <w:r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 xml:space="preserve">KOMISIONIT QENDROR TË ZGJEDHJEVE, i përfaqësuar në këtë kontratë nga Z. _________________________, i autorizuar 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që më poshtë do të quhet POROSITËSI,</w:t>
      </w:r>
    </w:p>
    <w:p w:rsidR="0070526F" w:rsidRPr="006C5383" w:rsidRDefault="0070526F" w:rsidP="005908F5">
      <w:pPr>
        <w:spacing w:after="0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 w:line="264" w:lineRule="auto"/>
        <w:jc w:val="center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Neni 1</w:t>
      </w:r>
    </w:p>
    <w:p w:rsidR="0070526F" w:rsidRPr="006C5383" w:rsidRDefault="0070526F" w:rsidP="0070526F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OBJEKTI I KONTRATËS</w:t>
      </w:r>
    </w:p>
    <w:p w:rsidR="0070526F" w:rsidRPr="006C5383" w:rsidRDefault="0070526F" w:rsidP="007A2467">
      <w:pPr>
        <w:spacing w:after="0" w:line="240" w:lineRule="auto"/>
        <w:rPr>
          <w:rFonts w:ascii="Verdana" w:eastAsia="Times New Roman" w:hAnsi="Verdana" w:cs="Arial"/>
          <w:color w:val="0D0D0D" w:themeColor="text1" w:themeTint="F2"/>
        </w:rPr>
      </w:pPr>
    </w:p>
    <w:p w:rsidR="0070526F" w:rsidRPr="006C5383" w:rsidRDefault="0070526F" w:rsidP="0070526F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Objekt i kësaj kontrate është: </w:t>
      </w:r>
    </w:p>
    <w:p w:rsidR="0070526F" w:rsidRPr="006C5383" w:rsidRDefault="0070526F" w:rsidP="0070526F">
      <w:pPr>
        <w:spacing w:after="0" w:line="24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Default="0070526F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Kryerja e auditimit ligjor të </w:t>
      </w:r>
      <w:r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 xml:space="preserve">detyrueshëm të fondeve të përftuara dhe të shpenzuara gjatë vitit kalendarik 2017, për partitë politike në përputhje me </w:t>
      </w:r>
      <w:r w:rsidRPr="006C5383">
        <w:rPr>
          <w:rFonts w:ascii="Verdana" w:hAnsi="Verdana"/>
          <w:color w:val="0D0D0D" w:themeColor="text1" w:themeTint="F2"/>
          <w:sz w:val="20"/>
          <w:szCs w:val="20"/>
        </w:rPr>
        <w:t>ligjin nr. 8580, datë 17.02.2000, “Për partitë politike” i ndryshuar, aktet nënligjore të KQZ të miratuara për këtë qëllim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 ligjin nr.10091</w:t>
      </w:r>
      <w:r w:rsidR="008637D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datë 05.03.2009 “Për Auditimin Ligjor, Organizimin e Profesionit të Ekspertit Kontabël të Regjistruar dhe Kontabilistit të Miratuar</w:t>
      </w:r>
      <w:r w:rsidR="008637D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”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dhe </w:t>
      </w:r>
      <w:r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>Ligjin nr.9228, d</w:t>
      </w:r>
      <w:r w:rsidR="008637D8"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>a</w:t>
      </w:r>
      <w:r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>t</w:t>
      </w:r>
      <w:r w:rsidR="0076717D"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>ë 29.04.2004 “Për K</w:t>
      </w:r>
      <w:r w:rsidRPr="006C5383">
        <w:rPr>
          <w:rFonts w:ascii="Verdana" w:eastAsia="Times New Roman" w:hAnsi="Verdana"/>
          <w:color w:val="0D0D0D" w:themeColor="text1" w:themeTint="F2"/>
          <w:sz w:val="20"/>
          <w:szCs w:val="20"/>
        </w:rPr>
        <w:t>ontabilitetin dhe Pasqyrat Financiare”,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si dhe aktet nënligjore të nxjerra në bazë dhe për zbatim te tyre.</w:t>
      </w:r>
    </w:p>
    <w:p w:rsidR="005908F5" w:rsidRPr="005908F5" w:rsidRDefault="005908F5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120"/>
        <w:ind w:left="36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N</w:t>
      </w:r>
      <w:r w:rsidR="00BE2926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eni 2</w:t>
      </w:r>
    </w:p>
    <w:p w:rsidR="0070526F" w:rsidRDefault="0070526F" w:rsidP="007A2467">
      <w:pPr>
        <w:spacing w:after="0" w:line="360" w:lineRule="auto"/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6C5383">
        <w:rPr>
          <w:rFonts w:ascii="Verdana" w:hAnsi="Verdana"/>
          <w:b/>
          <w:color w:val="0D0D0D" w:themeColor="text1" w:themeTint="F2"/>
          <w:sz w:val="20"/>
          <w:szCs w:val="20"/>
        </w:rPr>
        <w:t>REFERENCA LIGJORE</w:t>
      </w:r>
    </w:p>
    <w:p w:rsidR="00D9567E" w:rsidRPr="006C5383" w:rsidRDefault="00D9567E" w:rsidP="007A2467">
      <w:pPr>
        <w:spacing w:after="0" w:line="360" w:lineRule="auto"/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</w:p>
    <w:p w:rsidR="0070526F" w:rsidRPr="00D9567E" w:rsidRDefault="0070526F" w:rsidP="00D9567E">
      <w:pPr>
        <w:spacing w:line="360" w:lineRule="auto"/>
        <w:jc w:val="both"/>
        <w:rPr>
          <w:rFonts w:ascii="Verdana" w:hAnsi="Verdana"/>
          <w:color w:val="0D0D0D" w:themeColor="text1" w:themeTint="F2"/>
          <w:sz w:val="20"/>
          <w:szCs w:val="20"/>
        </w:rPr>
      </w:pPr>
      <w:r w:rsidRPr="006C5383">
        <w:rPr>
          <w:rFonts w:ascii="Verdana" w:hAnsi="Verdana"/>
          <w:color w:val="0D0D0D" w:themeColor="text1" w:themeTint="F2"/>
          <w:sz w:val="20"/>
          <w:szCs w:val="20"/>
        </w:rPr>
        <w:t xml:space="preserve">Dipozitat e </w:t>
      </w:r>
      <w:r w:rsidR="00FE004A">
        <w:rPr>
          <w:rFonts w:ascii="Verdana" w:hAnsi="Verdana"/>
          <w:color w:val="0D0D0D" w:themeColor="text1" w:themeTint="F2"/>
          <w:sz w:val="20"/>
          <w:szCs w:val="20"/>
        </w:rPr>
        <w:t>kësaj kontratë i referohen pjesës</w:t>
      </w:r>
      <w:r w:rsidRPr="006C5383">
        <w:rPr>
          <w:rFonts w:ascii="Verdana" w:hAnsi="Verdana"/>
          <w:color w:val="0D0D0D" w:themeColor="text1" w:themeTint="F2"/>
          <w:sz w:val="20"/>
          <w:szCs w:val="20"/>
        </w:rPr>
        <w:t xml:space="preserve"> VII</w:t>
      </w:r>
      <w:r w:rsidR="00FE004A">
        <w:rPr>
          <w:rFonts w:ascii="Verdana" w:hAnsi="Verdana"/>
          <w:color w:val="0D0D0D" w:themeColor="text1" w:themeTint="F2"/>
          <w:sz w:val="20"/>
          <w:szCs w:val="20"/>
        </w:rPr>
        <w:t>,</w:t>
      </w:r>
      <w:r w:rsidRPr="006C5383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kreu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II 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i 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Kodit Zgjedhor të Republikës së Shqipërisë, ligjit nr. 8580, datë 17.02.2000, “Për Partitë Politike” i ndryshuar, udhëzimit të KQZ-së nr. 8, datë </w:t>
      </w:r>
      <w:r w:rsidRPr="006C5383">
        <w:rPr>
          <w:rFonts w:ascii="Verdana" w:hAnsi="Verdana" w:cs="Verdana"/>
          <w:bCs/>
          <w:color w:val="0D0D0D" w:themeColor="text1" w:themeTint="F2"/>
          <w:sz w:val="20"/>
          <w:szCs w:val="20"/>
        </w:rPr>
        <w:t>25.03.2009 “</w:t>
      </w:r>
      <w:r w:rsidR="00D72913" w:rsidRPr="00D72913">
        <w:rPr>
          <w:rFonts w:ascii="Verdana" w:hAnsi="Verdana" w:cs="Verdana"/>
          <w:bCs/>
          <w:color w:val="0D0D0D" w:themeColor="text1" w:themeTint="F2"/>
          <w:sz w:val="20"/>
          <w:szCs w:val="20"/>
        </w:rPr>
        <w:t>Për miratimin e kritereve dhe procedurat për përzgjedhjen dhe emërimin e ekspertëve kontabël të licensuar për auditimin e fondeve të përfituara dhe të shpenzuara nga subjektet zgjedhore për fushatën zgjedhore dhe auditimin financiar vjetor</w:t>
      </w:r>
      <w:r w:rsidRPr="00D72913">
        <w:rPr>
          <w:rFonts w:ascii="Verdana" w:hAnsi="Verdana" w:cs="Verdana"/>
          <w:bCs/>
          <w:color w:val="0D0D0D" w:themeColor="text1" w:themeTint="F2"/>
          <w:sz w:val="20"/>
          <w:szCs w:val="20"/>
        </w:rPr>
        <w:t xml:space="preserve">”, </w:t>
      </w:r>
      <w:r w:rsidR="00D72913" w:rsidRPr="00D72913">
        <w:rPr>
          <w:rFonts w:ascii="Verdana" w:hAnsi="Verdana" w:cs="Verdana"/>
          <w:bCs/>
          <w:color w:val="0D0D0D" w:themeColor="text1" w:themeTint="F2"/>
          <w:sz w:val="20"/>
          <w:szCs w:val="20"/>
        </w:rPr>
        <w:t xml:space="preserve">i </w:t>
      </w:r>
      <w:r w:rsidRPr="00D72913">
        <w:rPr>
          <w:rFonts w:ascii="Verdana" w:hAnsi="Verdana" w:cs="Verdana"/>
          <w:bCs/>
          <w:color w:val="0D0D0D" w:themeColor="text1" w:themeTint="F2"/>
          <w:sz w:val="20"/>
          <w:szCs w:val="20"/>
        </w:rPr>
        <w:t>ndryshuar</w:t>
      </w:r>
      <w:r w:rsidRPr="006C5383">
        <w:rPr>
          <w:rFonts w:ascii="Verdana" w:hAnsi="Verdana"/>
          <w:color w:val="0D0D0D" w:themeColor="text1" w:themeTint="F2"/>
          <w:sz w:val="20"/>
          <w:szCs w:val="20"/>
        </w:rPr>
        <w:t>.</w:t>
      </w:r>
    </w:p>
    <w:p w:rsidR="005908F5" w:rsidRDefault="0070526F" w:rsidP="0070526F">
      <w:pPr>
        <w:spacing w:after="120"/>
        <w:ind w:left="360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                                                           </w:t>
      </w:r>
    </w:p>
    <w:p w:rsidR="0070526F" w:rsidRPr="006C5383" w:rsidRDefault="0070526F" w:rsidP="005908F5">
      <w:pPr>
        <w:spacing w:after="120"/>
        <w:ind w:left="36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lastRenderedPageBreak/>
        <w:t xml:space="preserve">Neni </w:t>
      </w:r>
      <w:r w:rsidR="00BE2926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3</w:t>
      </w:r>
    </w:p>
    <w:p w:rsidR="00D9567E" w:rsidRPr="005908F5" w:rsidRDefault="0070526F" w:rsidP="005908F5">
      <w:pPr>
        <w:spacing w:after="120"/>
        <w:ind w:left="360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                                                ÇMIMI I CAKTUAR</w:t>
      </w:r>
    </w:p>
    <w:p w:rsidR="00DF1B96" w:rsidRPr="006C5383" w:rsidRDefault="002B1797" w:rsidP="00DF1B96">
      <w:pPr>
        <w:pStyle w:val="HTMLPreformatted"/>
        <w:shd w:val="clear" w:color="auto" w:fill="FFFFFF"/>
        <w:spacing w:after="120" w:line="360" w:lineRule="auto"/>
        <w:jc w:val="both"/>
        <w:rPr>
          <w:rFonts w:ascii="Verdana" w:hAnsi="Verdana"/>
          <w:color w:val="0D0D0D" w:themeColor="text1" w:themeTint="F2"/>
          <w:lang w:val="sq-AL"/>
        </w:rPr>
      </w:pPr>
      <w:r w:rsidRPr="006C5383">
        <w:rPr>
          <w:rFonts w:ascii="Verdana" w:hAnsi="Verdana"/>
          <w:color w:val="0D0D0D" w:themeColor="text1" w:themeTint="F2"/>
          <w:lang w:val="sq-AL"/>
        </w:rPr>
        <w:t>3</w:t>
      </w:r>
      <w:r w:rsidR="00DF1B96" w:rsidRPr="006C5383">
        <w:rPr>
          <w:rFonts w:ascii="Verdana" w:hAnsi="Verdana"/>
          <w:color w:val="0D0D0D" w:themeColor="text1" w:themeTint="F2"/>
          <w:lang w:val="sq-AL"/>
        </w:rPr>
        <w:t xml:space="preserve">.1 Ofruesi i Shërbimeve do të paguhet në normat standarde orare. Norma standarde e orëve të ofruesit të shërbimeve është </w:t>
      </w:r>
      <w:r w:rsidR="00DF1B96" w:rsidRPr="006C5383">
        <w:rPr>
          <w:rFonts w:ascii="Verdana" w:hAnsi="Verdana" w:cs="Arial"/>
          <w:color w:val="0D0D0D" w:themeColor="text1" w:themeTint="F2"/>
        </w:rPr>
        <w:t>3000 (</w:t>
      </w:r>
      <w:proofErr w:type="spellStart"/>
      <w:r w:rsidR="00DF1B96" w:rsidRPr="006C5383">
        <w:rPr>
          <w:rFonts w:ascii="Verdana" w:hAnsi="Verdana" w:cs="Arial"/>
          <w:color w:val="0D0D0D" w:themeColor="text1" w:themeTint="F2"/>
        </w:rPr>
        <w:t>tremijë</w:t>
      </w:r>
      <w:proofErr w:type="spellEnd"/>
      <w:r w:rsidR="00DF1B96" w:rsidRPr="006C5383">
        <w:rPr>
          <w:rFonts w:ascii="Verdana" w:hAnsi="Verdana" w:cs="Arial"/>
          <w:color w:val="0D0D0D" w:themeColor="text1" w:themeTint="F2"/>
        </w:rPr>
        <w:t xml:space="preserve">) </w:t>
      </w:r>
      <w:proofErr w:type="spellStart"/>
      <w:r w:rsidR="00DF1B96" w:rsidRPr="006C5383">
        <w:rPr>
          <w:rFonts w:ascii="Verdana" w:hAnsi="Verdana" w:cs="Arial"/>
          <w:color w:val="0D0D0D" w:themeColor="text1" w:themeTint="F2"/>
        </w:rPr>
        <w:t>lekë</w:t>
      </w:r>
      <w:proofErr w:type="spellEnd"/>
      <w:r w:rsidR="00450685">
        <w:rPr>
          <w:rFonts w:ascii="Verdana" w:hAnsi="Verdana" w:cs="Arial"/>
          <w:color w:val="0D0D0D" w:themeColor="text1" w:themeTint="F2"/>
        </w:rPr>
        <w:t xml:space="preserve"> </w:t>
      </w:r>
      <w:r w:rsidR="00DF1B96" w:rsidRPr="006C5383">
        <w:rPr>
          <w:rFonts w:ascii="Verdana" w:hAnsi="Verdana"/>
          <w:color w:val="0D0D0D" w:themeColor="text1" w:themeTint="F2"/>
          <w:lang w:val="sq-AL"/>
        </w:rPr>
        <w:t>në varësi të numrit të orëve të shërbimeve profesi</w:t>
      </w:r>
      <w:r w:rsidR="00FE004A">
        <w:rPr>
          <w:rFonts w:ascii="Verdana" w:hAnsi="Verdana"/>
          <w:color w:val="0D0D0D" w:themeColor="text1" w:themeTint="F2"/>
          <w:lang w:val="sq-AL"/>
        </w:rPr>
        <w:t>onale të shpenzuara për auditim</w:t>
      </w:r>
      <w:r w:rsidR="00DF1B96" w:rsidRPr="006C5383">
        <w:rPr>
          <w:rFonts w:ascii="Verdana" w:hAnsi="Verdana"/>
          <w:color w:val="0D0D0D" w:themeColor="text1" w:themeTint="F2"/>
          <w:lang w:val="sq-AL"/>
        </w:rPr>
        <w:t>.</w:t>
      </w:r>
    </w:p>
    <w:p w:rsidR="0070526F" w:rsidRPr="006C5383" w:rsidRDefault="002B1797" w:rsidP="00DF1B96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3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.2 Shuma totale e kësaj kontrate do të përcaktohet me një shtesë kontrate, si aneks i kontratës, i cili do të hartohet pasi ofruesi i shërbimit të paraqesë planin e punës</w:t>
      </w:r>
      <w:r w:rsidR="00D9567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të miratuar nga partia e audituar,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ku të përcaktohen edhe orët e punës mbi bazën e sasisë fondeve të audituara.</w:t>
      </w:r>
    </w:p>
    <w:p w:rsidR="00DF1B96" w:rsidRPr="006C5383" w:rsidRDefault="002B1797" w:rsidP="00DF1B96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3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.3 Tarifat nuk përfshijnë TVSH-në</w:t>
      </w:r>
      <w:r w:rsidR="00C6358B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</w:p>
    <w:p w:rsidR="0070526F" w:rsidRPr="006C5383" w:rsidRDefault="0070526F" w:rsidP="0070526F">
      <w:pPr>
        <w:spacing w:after="0" w:line="240" w:lineRule="auto"/>
        <w:jc w:val="both"/>
        <w:rPr>
          <w:rFonts w:ascii="Verdana" w:eastAsia="Times New Roman" w:hAnsi="Verdana" w:cs="Arial"/>
          <w:color w:val="0D0D0D" w:themeColor="text1" w:themeTint="F2"/>
        </w:rPr>
      </w:pPr>
    </w:p>
    <w:p w:rsidR="0070526F" w:rsidRPr="006C5383" w:rsidRDefault="0070526F" w:rsidP="0070526F">
      <w:pPr>
        <w:spacing w:after="120" w:line="240" w:lineRule="auto"/>
        <w:ind w:left="36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Neni </w:t>
      </w:r>
      <w:r w:rsidR="00BE2926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4</w:t>
      </w:r>
    </w:p>
    <w:p w:rsidR="00D9567E" w:rsidRPr="005908F5" w:rsidRDefault="0070526F" w:rsidP="005908F5">
      <w:pPr>
        <w:spacing w:after="12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MËNYRA E PAGESËS</w:t>
      </w:r>
      <w:r w:rsidR="0076717D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 DHE RREGULLAT E FATURIMIT</w:t>
      </w:r>
    </w:p>
    <w:p w:rsidR="0070526F" w:rsidRPr="006C5383" w:rsidRDefault="002B1797" w:rsidP="00F94A57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4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.1 Pagesa do të kryhet në monedhë shqiptare (Lekë).</w:t>
      </w:r>
    </w:p>
    <w:p w:rsidR="0070526F" w:rsidRPr="006C5383" w:rsidRDefault="002B1797" w:rsidP="000B28D5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4</w:t>
      </w:r>
      <w:r w:rsidR="00F94A57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.2 Për shërbimin e kryer nga Ofruesi i Shërbimit do të</w:t>
      </w:r>
      <w:r w:rsidR="00736201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lëshohet një faturë tatimore. F</w:t>
      </w:r>
      <w:r w:rsidR="00F94A57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atura duhet të tregojë (i) llojin e shërbimit, (ii) emrin e subjektit të audituar,(iii) llojin dhe shumën e disbusimeve. Fatura së bashku me dokumentacionin mbështetës 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do të dorë</w:t>
      </w:r>
      <w:r w:rsidR="00F94A57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zohet në Komisionin Qëndror të Zgjedhjeve.    </w:t>
      </w:r>
    </w:p>
    <w:p w:rsidR="0070526F" w:rsidRPr="006C5383" w:rsidRDefault="002B1797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4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  <w:r w:rsidR="00F94A57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3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Partia politike pas p</w:t>
      </w:r>
      <w:r w:rsidR="0070526F" w:rsidRPr="006C5383">
        <w:rPr>
          <w:rFonts w:ascii="Verdana" w:eastAsia="Times New Roman" w:hAnsi="Verdana" w:cs="Verdana"/>
          <w:color w:val="0D0D0D" w:themeColor="text1" w:themeTint="F2"/>
          <w:sz w:val="20"/>
          <w:szCs w:val="20"/>
        </w:rPr>
        <w:t>ë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rfundimit t</w:t>
      </w:r>
      <w:r w:rsidR="0070526F" w:rsidRPr="006C5383">
        <w:rPr>
          <w:rFonts w:ascii="Verdana" w:eastAsia="Times New Roman" w:hAnsi="Verdana" w:cs="Verdana"/>
          <w:color w:val="0D0D0D" w:themeColor="text1" w:themeTint="F2"/>
          <w:sz w:val="20"/>
          <w:szCs w:val="20"/>
        </w:rPr>
        <w:t xml:space="preserve">ë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auditimit transferon menj</w:t>
      </w:r>
      <w:r w:rsidR="0070526F" w:rsidRPr="006C5383">
        <w:rPr>
          <w:rFonts w:ascii="Verdana" w:eastAsia="Times New Roman" w:hAnsi="Verdana" w:cs="Verdana"/>
          <w:color w:val="0D0D0D" w:themeColor="text1" w:themeTint="F2"/>
          <w:sz w:val="20"/>
          <w:szCs w:val="20"/>
        </w:rPr>
        <w:t>ë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herë fondet e nevojshme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në llogarinë e Komisionit Qendror të Zgjedhjeve. Porositësi është i detyruar të paguajë çmimin e caktuar në nenin 4 të kësaj kontrate, brenda 10 ditëve nga transferimi i fondeve nga partit</w:t>
      </w:r>
      <w:r w:rsidR="0070526F" w:rsidRPr="006C5383">
        <w:rPr>
          <w:rFonts w:ascii="Verdana" w:eastAsia="Times New Roman" w:hAnsi="Verdana" w:cs="Verdana"/>
          <w:color w:val="0D0D0D" w:themeColor="text1" w:themeTint="F2"/>
          <w:sz w:val="20"/>
          <w:szCs w:val="20"/>
        </w:rPr>
        <w:t>ë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politike dhe në çdo rast pas marrjes në dorëzim të faturës tatimore të shitjes nga Ofruesi i Shërbimit.</w:t>
      </w:r>
    </w:p>
    <w:p w:rsidR="0070526F" w:rsidRPr="006C5383" w:rsidRDefault="0070526F" w:rsidP="0070526F">
      <w:pPr>
        <w:spacing w:after="0" w:line="240" w:lineRule="auto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70526F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Neni </w:t>
      </w:r>
      <w:r w:rsidR="00BE2926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5</w:t>
      </w:r>
    </w:p>
    <w:p w:rsidR="0070526F" w:rsidRPr="006C5383" w:rsidRDefault="0070526F" w:rsidP="0070526F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70526F" w:rsidRPr="005908F5" w:rsidRDefault="0070526F" w:rsidP="005908F5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TË DREJTAT DHE DETYRIMET E OFRUESIT TË SHËRBIMIT</w:t>
      </w:r>
    </w:p>
    <w:p w:rsidR="0070526F" w:rsidRPr="006C5383" w:rsidRDefault="002B1797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.1 Ofruesi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merr përsipër kryerjen e shërbimeve të përcaktuara në nenin 1 (një) të kësaj kontrate.</w:t>
      </w:r>
    </w:p>
    <w:p w:rsidR="00DF1B96" w:rsidRPr="006C5383" w:rsidRDefault="002B1797" w:rsidP="00590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.2 O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është i</w:t>
      </w:r>
      <w:r w:rsidR="00AB6272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detyruar</w:t>
      </w:r>
      <w:r w:rsidR="0007350C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të marrë përsipër</w:t>
      </w:r>
      <w:r w:rsidR="00AB6272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07350C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ta kryejë </w:t>
      </w:r>
      <w:r w:rsidR="00AB6272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shërbim </w:t>
      </w:r>
      <w:r w:rsidR="0007350C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p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ranë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ambienteve të partisë politike që do të auditojë</w:t>
      </w:r>
      <w:r w:rsidR="003452BB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</w:p>
    <w:p w:rsidR="000A4D98" w:rsidRPr="006C5383" w:rsidRDefault="002B1797" w:rsidP="00590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.3 Ofruesi i sh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rbimit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2A26A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2A26A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funksion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2A26A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ushtrimit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2A26A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detyr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2A26A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s </w:t>
      </w:r>
      <w:r w:rsidR="004B763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 t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4B763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verifikoj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cdo informacion, 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dokument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 llogari bankare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apo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dh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</w:t>
      </w:r>
      <w:r w:rsidR="004B763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q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ka</w:t>
      </w:r>
      <w:r w:rsidR="007632B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bej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me financinim dhe shpenzimet e kryera nga partit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0A4D98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politke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si dhe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mar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deklarata nga drejtuesit e partis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politke q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auditon p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 c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shtj</w:t>
      </w:r>
      <w:r w:rsidR="000A1639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e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 q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i nevoijiten p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kryer sh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9377B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rbimin.</w:t>
      </w:r>
    </w:p>
    <w:p w:rsidR="002B1797" w:rsidRPr="006C5383" w:rsidRDefault="002B1797" w:rsidP="00590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lastRenderedPageBreak/>
        <w:t>5.4 Ofruesi i sh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rbimit </w:t>
      </w:r>
      <w:r w:rsidR="004B763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kryej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auditimin e partive polit</w:t>
      </w:r>
      <w:r w:rsidR="00FB0AAC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ke n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rmjet kontrollit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dokumentit financiar e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llogarive kontab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l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partive polit</w:t>
      </w:r>
      <w:r w:rsidR="00FB0AAC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ke,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subjekteve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lidhura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drejt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rdrejt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os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e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rthorazi, me partit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politike apo q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ndodhen n</w:t>
      </w:r>
      <w:r w:rsidR="000B28D5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n kontrollin e tyre. </w:t>
      </w:r>
    </w:p>
    <w:p w:rsidR="00D72913" w:rsidRDefault="000A4D98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5.5</w:t>
      </w:r>
      <w:r w:rsidR="007632B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Ofruesi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 të depozitojë në K</w:t>
      </w:r>
      <w:r w:rsidR="00F9112A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omisionin Q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F9112A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ndror t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F9112A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Zgjedhjeve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raportin e auditimit brenda 30 ditëve nga data e lidhjes së kontratës. Raporti i auditimit duhet të depozitohet brenda 30 ditëve nga data e lidhjes së kontratës edhe në format elektronik.</w:t>
      </w:r>
    </w:p>
    <w:p w:rsidR="003E2427" w:rsidRPr="006C5383" w:rsidRDefault="003E2427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</w:t>
      </w:r>
      <w:r w:rsidR="004C74B6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6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Ofruesi i shërbimit së bashku me raportin e auditimit dorëzon</w:t>
      </w:r>
      <w:r w:rsidR="007632B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7632B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plot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7632BD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suar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pyet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sorin </w:t>
      </w:r>
      <w:r w:rsidR="00BF4531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udhëzues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bashk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lidhur k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BF4531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saj kontrate. </w:t>
      </w:r>
    </w:p>
    <w:p w:rsidR="0070526F" w:rsidRPr="006C5383" w:rsidRDefault="000A4D98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</w:t>
      </w:r>
      <w:r w:rsidR="004C74B6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7</w:t>
      </w:r>
      <w:r w:rsidR="00B97139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Ofruesi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 të hartojë Raportin e auditimit me profesionalizëm,</w:t>
      </w:r>
      <w:r w:rsidR="0070526F" w:rsidRPr="00D7291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në përputhje me 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ligji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nr. 8580, datë 17.02.2000, “Për Partitë Politike” i ndryshuar, ligjin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nr.</w:t>
      </w:r>
      <w:r w:rsidR="00736201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10091 datë 05.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03.2009 “Për Auditimin Ligjor, Organizimin e Profesionit të Ekspertit Kontabël të Regjistruar dhe Kontabilistit të Miratuar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”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dhe </w:t>
      </w:r>
      <w:r w:rsidR="0070526F" w:rsidRPr="00D7291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Ligji</w:t>
      </w:r>
      <w:r w:rsidR="0076717D" w:rsidRPr="00D7291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 nr.9228, dt. 29.04.2004 “Për K</w:t>
      </w:r>
      <w:r w:rsidR="0070526F" w:rsidRPr="00D7291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ontabilitetin dhe Pasqyrat Financiare”, dhe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aktet nënligjore të nxjerra në bazë dhe për zbatim te tyre.</w:t>
      </w:r>
    </w:p>
    <w:p w:rsidR="0070526F" w:rsidRPr="006C5383" w:rsidRDefault="000A4D98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</w:t>
      </w:r>
      <w:r w:rsidR="004C74B6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8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nuk mund të përfshijë në raportin e auditimit, të dhëna personale të personave që i kanë dhuruar subjektit zgjedhor, shuma më pak se 100 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000 (nj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qind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mijë</w:t>
      </w:r>
      <w:r w:rsidR="0076717D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)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lekë.</w:t>
      </w:r>
    </w:p>
    <w:p w:rsidR="0070526F" w:rsidRPr="006C5383" w:rsidRDefault="004C74B6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5.9</w:t>
      </w:r>
      <w:r w:rsidR="00B97139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Ofruesi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 të paraqitet në KQZ, sa herë kjo e fundit ta thërras për sqarime të nevojshme, pas depozitimit të raportit përfundimtar.</w:t>
      </w:r>
    </w:p>
    <w:p w:rsidR="0070526F" w:rsidRPr="006C5383" w:rsidRDefault="000A4D98" w:rsidP="005908F5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5.</w:t>
      </w:r>
      <w:r w:rsidR="004C74B6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10</w:t>
      </w:r>
      <w:r w:rsidR="00D7291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Ofruesi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në çdo rast duhet të njoftojë për kryerjen e auditimit ligjor, subjektin auditues më shkr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im nëpërmjet Postës Shqip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tare, sipas adresës së dhënë nga </w:t>
      </w:r>
      <w:r w:rsidR="00F9112A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Komisioni Q</w:t>
      </w:r>
      <w:r w:rsidR="00DF1B9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F9112A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ndror i Zgjedhjeve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</w:p>
    <w:p w:rsidR="003E2427" w:rsidRPr="006C5383" w:rsidRDefault="003E2427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Pr="006C5383" w:rsidRDefault="0070526F" w:rsidP="00BE2926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Neni </w:t>
      </w:r>
      <w:r w:rsidR="000A4D98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6</w:t>
      </w:r>
    </w:p>
    <w:p w:rsidR="0070526F" w:rsidRPr="006C5383" w:rsidRDefault="0070526F" w:rsidP="00BE2926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D9567E" w:rsidRPr="004C74B6" w:rsidRDefault="0070526F" w:rsidP="005908F5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TË DREJTAT DHE DETYRIMET E POROSITËSIT</w:t>
      </w:r>
    </w:p>
    <w:p w:rsidR="0070526F" w:rsidRPr="006C5383" w:rsidRDefault="000A4D98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6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.1 P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orositësi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është i detyruar të njoftojë menjëherë 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fruesit të 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</w:t>
      </w:r>
      <w:r w:rsidR="00FE004A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hërbimit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të dhënat e partisë politike, ku përfshihen:</w:t>
      </w:r>
    </w:p>
    <w:p w:rsidR="0070526F" w:rsidRPr="006C5383" w:rsidRDefault="0070526F" w:rsidP="00BE29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Adresa, sipas të dhënave në Regjistrin e Partive Politike të regjistruar në Gjykatën e Rrethit Gjyqësor Tiranë. </w:t>
      </w:r>
    </w:p>
    <w:p w:rsidR="0070526F" w:rsidRPr="006C5383" w:rsidRDefault="0070526F" w:rsidP="00BE29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E</w:t>
      </w:r>
      <w:r w:rsidR="00BE2926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mrin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/mbiemrin dhe adresën e kryetarit </w:t>
      </w:r>
      <w:r w:rsidR="0007350C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dhe të financierit 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 partisë, nëse subjekti është parti politike.</w:t>
      </w:r>
    </w:p>
    <w:p w:rsidR="0070526F" w:rsidRPr="006C5383" w:rsidRDefault="000A4D98" w:rsidP="00D72663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6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.2 P</w:t>
      </w:r>
      <w:r w:rsidR="00D72663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orositësi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është i detyruar të paguajë çmimin përkatës të përcaktuar në nenin 4 të kësaj kontrate.</w:t>
      </w:r>
    </w:p>
    <w:p w:rsidR="0070526F" w:rsidRDefault="0070526F" w:rsidP="0070526F">
      <w:pPr>
        <w:spacing w:after="0" w:line="240" w:lineRule="auto"/>
        <w:ind w:left="2880" w:firstLine="720"/>
        <w:rPr>
          <w:rFonts w:ascii="Verdana" w:eastAsia="Times New Roman" w:hAnsi="Verdana" w:cs="Arial"/>
          <w:b/>
          <w:color w:val="0D0D0D" w:themeColor="text1" w:themeTint="F2"/>
        </w:rPr>
      </w:pPr>
    </w:p>
    <w:p w:rsidR="0007350C" w:rsidRPr="006C5383" w:rsidRDefault="0007350C" w:rsidP="0070526F">
      <w:pPr>
        <w:spacing w:after="0" w:line="240" w:lineRule="auto"/>
        <w:ind w:left="2880" w:firstLine="720"/>
        <w:rPr>
          <w:rFonts w:ascii="Verdana" w:eastAsia="Times New Roman" w:hAnsi="Verdana" w:cs="Arial"/>
          <w:b/>
          <w:color w:val="0D0D0D" w:themeColor="text1" w:themeTint="F2"/>
        </w:rPr>
      </w:pPr>
      <w:bookmarkStart w:id="0" w:name="_GoBack"/>
      <w:bookmarkEnd w:id="0"/>
    </w:p>
    <w:p w:rsidR="0070526F" w:rsidRPr="006C5383" w:rsidRDefault="0070526F" w:rsidP="00D72663">
      <w:pPr>
        <w:spacing w:after="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lastRenderedPageBreak/>
        <w:t xml:space="preserve">Neni </w:t>
      </w:r>
      <w:r w:rsidR="000A4D98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7</w:t>
      </w:r>
    </w:p>
    <w:p w:rsidR="00D9567E" w:rsidRPr="007A2467" w:rsidRDefault="0070526F" w:rsidP="005908F5">
      <w:pPr>
        <w:spacing w:after="0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NËNSIPËRMARRJA</w:t>
      </w:r>
    </w:p>
    <w:p w:rsidR="0070526F" w:rsidRPr="006C5383" w:rsidRDefault="0070526F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O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fruesi i Shë</w:t>
      </w:r>
      <w:r w:rsidR="00D72663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rbimit </w:t>
      </w:r>
      <w:r w:rsidR="00FB0AAC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nuk mund t’ia japë me nën</w:t>
      </w: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sipërmarrje kryerjen e shërbimit të përcaktuar në këtë kontratë. </w:t>
      </w:r>
    </w:p>
    <w:p w:rsidR="0070526F" w:rsidRPr="006C5383" w:rsidRDefault="0070526F" w:rsidP="004C74B6">
      <w:pPr>
        <w:spacing w:after="0" w:line="240" w:lineRule="auto"/>
        <w:rPr>
          <w:rFonts w:ascii="Verdana" w:eastAsia="Times New Roman" w:hAnsi="Verdana" w:cs="Arial"/>
          <w:b/>
          <w:color w:val="0D0D0D" w:themeColor="text1" w:themeTint="F2"/>
        </w:rPr>
      </w:pPr>
    </w:p>
    <w:p w:rsidR="0070526F" w:rsidRPr="006C5383" w:rsidRDefault="0070526F" w:rsidP="00267E8E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Neni </w:t>
      </w:r>
      <w:r w:rsidR="000A4D98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8</w:t>
      </w:r>
    </w:p>
    <w:p w:rsidR="00E73600" w:rsidRDefault="0070526F" w:rsidP="007A2467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KOFIDENCIALITETI</w:t>
      </w:r>
    </w:p>
    <w:p w:rsidR="0070526F" w:rsidRPr="006C5383" w:rsidRDefault="0070526F" w:rsidP="005908F5">
      <w:pPr>
        <w:spacing w:after="0" w:line="240" w:lineRule="auto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70526F" w:rsidRDefault="000A4D98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8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.1 O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fruesi i Shërbimit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nuk duhet të bëjë publike asnjë informacion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apo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dokumentacion 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konfidencial 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marr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gjat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 auditimit që ka të bëjë me partinë politike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, p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rveç se me miratimin nga Porosit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si p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 t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zbuluar nj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informacion t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E73600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til</w:t>
      </w:r>
      <w:r w:rsidR="00267E8E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</w:p>
    <w:p w:rsidR="004B20F6" w:rsidRPr="006C5383" w:rsidRDefault="004B20F6" w:rsidP="0070526F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3E2427" w:rsidRPr="00BF4531" w:rsidRDefault="000A4D98" w:rsidP="00BF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8</w:t>
      </w:r>
      <w:r w:rsidR="00E73600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.2 Dety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rimi i konfidencialitetit do të</w:t>
      </w:r>
      <w:r w:rsidR="00267E8E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jetë në fuqi deri në </w:t>
      </w:r>
      <w:r w:rsidR="00E73600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përfundimin e kësaj kontrate.</w:t>
      </w:r>
    </w:p>
    <w:p w:rsidR="003E2427" w:rsidRPr="006C5383" w:rsidRDefault="003E2427" w:rsidP="00E73600">
      <w:pPr>
        <w:jc w:val="both"/>
        <w:rPr>
          <w:rFonts w:ascii="Verdana" w:hAnsi="Verdana"/>
          <w:color w:val="0D0D0D" w:themeColor="text1" w:themeTint="F2"/>
          <w:sz w:val="20"/>
          <w:szCs w:val="20"/>
        </w:rPr>
      </w:pPr>
    </w:p>
    <w:p w:rsidR="0070526F" w:rsidRPr="006C5383" w:rsidRDefault="0070526F" w:rsidP="00F54DA2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 xml:space="preserve">Neni </w:t>
      </w:r>
      <w:r w:rsidR="000A4D98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9</w:t>
      </w:r>
    </w:p>
    <w:p w:rsidR="00D9567E" w:rsidRPr="00BF4531" w:rsidRDefault="0070526F" w:rsidP="005908F5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ZGJIDHJA E KONTRATËS</w:t>
      </w:r>
    </w:p>
    <w:p w:rsidR="00F54DA2" w:rsidRPr="006C5383" w:rsidRDefault="000A4D98" w:rsidP="00F54DA2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9.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1 Kjo kontratë hyn në fuqi që nga data kur nënshkruhet nga të dy palët</w:t>
      </w:r>
      <w:r w:rsidR="00F54DA2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dhe është e vlefshme deri në plotësimin e detyrimeve të përcaktuara në këtë kontratë në ligj dhe aktet nënligjore.</w:t>
      </w:r>
    </w:p>
    <w:p w:rsidR="00F54DA2" w:rsidRPr="006C5383" w:rsidRDefault="00F54DA2" w:rsidP="00F54DA2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F54DA2" w:rsidRPr="006C5383" w:rsidRDefault="000A4D98" w:rsidP="00F54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9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.2 Kjo </w:t>
      </w:r>
      <w:r w:rsidR="00CB5E86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kontratë 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mund të ndërpritet nga secila </w:t>
      </w:r>
      <w:r w:rsidR="00CB5E86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palë 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p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rpara p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rfundimit 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afatit 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p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rcaktuar n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, pala zgjidh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se </w:t>
      </w:r>
      <w:r w:rsidR="00F54DA2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 të njoftojë me shkrim palën tjetër 20 (njëzetë) ditë përpara. N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joftim p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 nd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rprerejn e kontrat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s duhet 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jet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i arsyetuar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n</w:t>
      </w:r>
      <w:r w:rsidR="00F54DA2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ë të kundërt pala zgjidhëse i paguan palës tjetër një dëmshpërblim në masën e dyfishit të çmimit të caktuar në nenin 4 (katër) të kësaj kontrate.</w:t>
      </w:r>
    </w:p>
    <w:p w:rsidR="0070526F" w:rsidRPr="006C5383" w:rsidRDefault="006A344D" w:rsidP="000A4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9.3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Sidoqoftë, Ofruesi i Shërbimeve duhet të përfundojë çdo detyrë të caktuar nga Porosit</w:t>
      </w:r>
      <w:r w:rsidR="00D72663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ë</w:t>
      </w:r>
      <w:r w:rsidR="00F54DA2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si para se data e përfundimit të njoftimit të marrë nga pala tjetër. Ndërprerja e </w:t>
      </w:r>
      <w:r w:rsidR="00CB5E86"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kontratës mbetet e vlefshme edhe në qoftë se pala ndërprerëse nuk arrin të japë arsyet për ndërprerjen</w:t>
      </w:r>
      <w:r w:rsidRPr="006C5383"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.</w:t>
      </w:r>
    </w:p>
    <w:p w:rsidR="004B20F6" w:rsidRPr="006C5383" w:rsidRDefault="006A344D" w:rsidP="0070526F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9.4</w:t>
      </w:r>
      <w:r w:rsidR="007A2467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Kur njëra nga palët e kësaj kontrate, nuk përmbush detyrimet e veta, pala tjetër e kësaj kontrate, sipas rastit mund të kërkojë përmbushjen e detyrimit, ose zgjidhjen e kontratës, </w:t>
      </w:r>
      <w:r w:rsidR="004C74B6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sipas nenit 698 të Kodit Civil.</w:t>
      </w:r>
    </w:p>
    <w:p w:rsidR="0070526F" w:rsidRPr="006C5383" w:rsidRDefault="0070526F" w:rsidP="005908F5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NENI 1</w:t>
      </w:r>
      <w:r w:rsidR="006A344D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0</w:t>
      </w:r>
    </w:p>
    <w:p w:rsidR="0070526F" w:rsidRDefault="0070526F" w:rsidP="007A2467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ZGJIDHJA E MOSMARRËVESHJEVE</w:t>
      </w:r>
    </w:p>
    <w:p w:rsidR="00D9567E" w:rsidRPr="004C74B6" w:rsidRDefault="0070526F" w:rsidP="004C74B6">
      <w:pPr>
        <w:spacing w:after="0" w:line="360" w:lineRule="auto"/>
        <w:jc w:val="both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hAnsi="Verdana" w:cs="Arial"/>
          <w:color w:val="0D0D0D" w:themeColor="text1" w:themeTint="F2"/>
          <w:sz w:val="20"/>
          <w:szCs w:val="20"/>
        </w:rPr>
        <w:t xml:space="preserve">Për çdo mosmarrëveshje apo konflikt që mund të lindë në të ardhmen ndërmjet tyre, palët e diskutojnë dhe mundohen t’i zgjidhin ato me mirëkuptim. Në të kundërt i drejtohen Gjykatës Administrative </w:t>
      </w:r>
      <w:r w:rsidR="00F54DA2" w:rsidRPr="006C5383">
        <w:rPr>
          <w:rFonts w:ascii="Verdana" w:hAnsi="Verdana" w:cs="Arial"/>
          <w:color w:val="0D0D0D" w:themeColor="text1" w:themeTint="F2"/>
          <w:sz w:val="20"/>
          <w:szCs w:val="20"/>
        </w:rPr>
        <w:t xml:space="preserve">të Shkallës së Parë </w:t>
      </w:r>
      <w:r w:rsidRPr="006C5383">
        <w:rPr>
          <w:rFonts w:ascii="Verdana" w:hAnsi="Verdana" w:cs="Arial"/>
          <w:color w:val="0D0D0D" w:themeColor="text1" w:themeTint="F2"/>
          <w:sz w:val="20"/>
          <w:szCs w:val="20"/>
        </w:rPr>
        <w:t xml:space="preserve">Tiranë për t’i zgjidhur ato. </w:t>
      </w:r>
    </w:p>
    <w:p w:rsidR="0070526F" w:rsidRPr="006C5383" w:rsidRDefault="0070526F" w:rsidP="00BE2926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lastRenderedPageBreak/>
        <w:t xml:space="preserve">NENI </w:t>
      </w:r>
      <w:r w:rsidR="006A344D"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11</w:t>
      </w:r>
    </w:p>
    <w:p w:rsidR="0070526F" w:rsidRPr="006C5383" w:rsidRDefault="0070526F" w:rsidP="00BE2926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</w:p>
    <w:p w:rsidR="00D9567E" w:rsidRPr="007A2467" w:rsidRDefault="0070526F" w:rsidP="005908F5">
      <w:pPr>
        <w:spacing w:after="0" w:line="240" w:lineRule="auto"/>
        <w:jc w:val="center"/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b/>
          <w:color w:val="0D0D0D" w:themeColor="text1" w:themeTint="F2"/>
          <w:sz w:val="20"/>
          <w:szCs w:val="20"/>
        </w:rPr>
        <w:t>DISPOZITA TË FUNDIT DHE PËRMBYLLËSE</w:t>
      </w:r>
    </w:p>
    <w:p w:rsidR="0070526F" w:rsidRPr="006C5383" w:rsidRDefault="006A344D" w:rsidP="00BE2926">
      <w:pPr>
        <w:spacing w:after="120" w:line="360" w:lineRule="auto"/>
        <w:jc w:val="both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hAnsi="Verdana" w:cs="Arial"/>
          <w:color w:val="0D0D0D" w:themeColor="text1" w:themeTint="F2"/>
          <w:sz w:val="20"/>
          <w:szCs w:val="20"/>
        </w:rPr>
        <w:t>11.1</w:t>
      </w:r>
      <w:r w:rsidR="0070526F" w:rsidRPr="006C5383">
        <w:rPr>
          <w:rFonts w:ascii="Verdana" w:hAnsi="Verdana" w:cs="Arial"/>
          <w:color w:val="0D0D0D" w:themeColor="text1" w:themeTint="F2"/>
          <w:sz w:val="20"/>
          <w:szCs w:val="20"/>
        </w:rPr>
        <w:t xml:space="preserve"> Për çka nuk është parashikuar në këtë kontratë, do të zbatohet legjislacioni shqiptar në fuqi. </w:t>
      </w:r>
    </w:p>
    <w:p w:rsidR="0070526F" w:rsidRPr="006C5383" w:rsidRDefault="006A344D" w:rsidP="00BE2926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11.2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Komunikimi midis palëve do të jetë i vlefshëm vetëm kur bëhet me shkrim.</w:t>
      </w:r>
    </w:p>
    <w:p w:rsidR="0070526F" w:rsidRPr="006C5383" w:rsidRDefault="006A344D" w:rsidP="00BE2926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11.3</w:t>
      </w:r>
      <w:r w:rsidR="0070526F"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Të gjitha shtesat dhe ndryshimet që mund ti bëhen kësaj kontrate janë të vlefshme dhe bëhen pjesë e kësaj kontrate vetëm nëse bëhen me shkrim dhe firmosur rregullisht nga palët apo përfaqësuesit e tyre të autorizuar.</w:t>
      </w:r>
    </w:p>
    <w:p w:rsidR="002E4886" w:rsidRDefault="0070526F" w:rsidP="00FE004A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6C5383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Kontrata përpilohet në katër kopje, me të njëjtën fuqi ligjore, dhe pasi u gjend e rregullt nënshkruhet nga të dy palët pa vërejtje. </w:t>
      </w:r>
    </w:p>
    <w:p w:rsidR="00DE3C61" w:rsidRDefault="00DE3C61" w:rsidP="00FE004A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</w:p>
    <w:p w:rsidR="00DE3C61" w:rsidRDefault="00DE3C61" w:rsidP="00DE3C61">
      <w:p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 w:rsidRPr="005908F5">
        <w:rPr>
          <w:rFonts w:ascii="Verdana" w:hAnsi="Verdana" w:cs="Arial"/>
          <w:b/>
        </w:rPr>
        <w:t>P</w:t>
      </w:r>
      <w:r w:rsidRPr="005908F5">
        <w:rPr>
          <w:rFonts w:ascii="Verdana" w:eastAsia="Arial Unicode MS" w:hAnsi="Verdana" w:cs="Arial Unicode MS"/>
          <w:b/>
        </w:rPr>
        <w:t>ËR KQZ</w:t>
      </w:r>
      <w:r w:rsidRPr="005908F5">
        <w:rPr>
          <w:rFonts w:ascii="Verdana" w:hAnsi="Verdana" w:cs="Arial"/>
          <w:b/>
        </w:rPr>
        <w:tab/>
      </w:r>
    </w:p>
    <w:p w:rsidR="004B20F6" w:rsidRPr="00DE3C61" w:rsidRDefault="00DE3C61" w:rsidP="00DE3C61">
      <w:pPr>
        <w:spacing w:after="120" w:line="360" w:lineRule="auto"/>
        <w:jc w:val="both"/>
        <w:rPr>
          <w:rFonts w:ascii="Verdana" w:eastAsia="Arial Unicode MS" w:hAnsi="Verdana" w:cs="Arial Unicode MS"/>
          <w:b/>
          <w:u w:val="single"/>
        </w:rPr>
      </w:pPr>
      <w:r w:rsidRPr="00DE3C61">
        <w:rPr>
          <w:rFonts w:ascii="Verdana" w:eastAsia="Arial Unicode MS" w:hAnsi="Verdana" w:cs="Arial Unicode MS"/>
          <w:b/>
          <w:u w:val="single"/>
        </w:rPr>
        <w:t xml:space="preserve">POROSITËSI  </w:t>
      </w:r>
      <w:r>
        <w:rPr>
          <w:rFonts w:ascii="Verdana" w:eastAsia="Arial Unicode MS" w:hAnsi="Verdana" w:cs="Arial Unicode MS"/>
          <w:b/>
        </w:rPr>
        <w:t xml:space="preserve">                   </w:t>
      </w:r>
      <w:r w:rsidRPr="00DE3C61">
        <w:rPr>
          <w:rFonts w:ascii="Verdana" w:eastAsia="Arial Unicode MS" w:hAnsi="Verdana" w:cs="Arial Unicode MS"/>
          <w:b/>
        </w:rPr>
        <w:t xml:space="preserve">                                             </w:t>
      </w:r>
      <w:r w:rsidR="004B20F6" w:rsidRPr="00DE3C61">
        <w:rPr>
          <w:rFonts w:ascii="Verdana" w:eastAsia="Arial Unicode MS" w:hAnsi="Verdana" w:cs="Arial Unicode MS"/>
          <w:b/>
          <w:u w:val="single"/>
        </w:rPr>
        <w:t>OFRUESI I SHËRBIMIT</w:t>
      </w:r>
    </w:p>
    <w:p w:rsidR="005908F5" w:rsidRPr="00DE3C61" w:rsidRDefault="005908F5" w:rsidP="00DE3C61">
      <w:pPr>
        <w:spacing w:after="120" w:line="360" w:lineRule="auto"/>
        <w:jc w:val="both"/>
        <w:rPr>
          <w:rFonts w:ascii="Verdana" w:eastAsia="Arial Unicode MS" w:hAnsi="Verdana" w:cs="Arial Unicode MS"/>
          <w:b/>
        </w:rPr>
      </w:pPr>
      <w:r w:rsidRPr="00DE3C61">
        <w:rPr>
          <w:rFonts w:ascii="Verdana" w:eastAsia="Arial Unicode MS" w:hAnsi="Verdana" w:cs="Arial Unicode MS"/>
          <w:b/>
        </w:rPr>
        <w:t>KRYETAR</w:t>
      </w:r>
      <w:r w:rsidRPr="00DE3C61">
        <w:rPr>
          <w:rFonts w:ascii="Verdana" w:eastAsia="Arial Unicode MS" w:hAnsi="Verdana" w:cs="Arial Unicode MS"/>
          <w:b/>
        </w:rPr>
        <w:tab/>
      </w:r>
      <w:r w:rsidR="0007350C">
        <w:rPr>
          <w:rFonts w:ascii="Verdana" w:eastAsia="Arial Unicode MS" w:hAnsi="Verdana" w:cs="Arial Unicode MS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7.25pt;margin-top:520.85pt;width:135pt;height:6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" strokecolor="white" strokeweight=".5pt">
            <v:textbox>
              <w:txbxContent>
                <w:p w:rsidR="005908F5" w:rsidRDefault="005908F5" w:rsidP="005908F5">
                  <w:pPr>
                    <w:spacing w:after="120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ZV/KRYETAR </w:t>
                  </w:r>
                </w:p>
                <w:p w:rsidR="005908F5" w:rsidRDefault="005908F5" w:rsidP="005908F5">
                  <w:pPr>
                    <w:spacing w:after="120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Denar BIBA</w:t>
                  </w:r>
                </w:p>
              </w:txbxContent>
            </v:textbox>
          </v:shape>
        </w:pict>
      </w:r>
      <w:r w:rsidR="0007350C">
        <w:rPr>
          <w:rFonts w:ascii="Verdana" w:eastAsia="Arial Unicode MS" w:hAnsi="Verdana" w:cs="Arial Unicode MS"/>
          <w:b/>
        </w:rPr>
        <w:pict>
          <v:shape id="Text Box 7" o:spid="_x0000_s1031" type="#_x0000_t202" style="position:absolute;left:0;text-align:left;margin-left:77.25pt;margin-top:520.85pt;width:135pt;height:6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" strokecolor="white" strokeweight=".5pt">
            <v:textbox style="mso-next-textbox:#Text Box 7">
              <w:txbxContent>
                <w:p w:rsidR="005908F5" w:rsidRDefault="005908F5" w:rsidP="005908F5">
                  <w:pPr>
                    <w:spacing w:after="120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ZV/KRYETAR </w:t>
                  </w:r>
                </w:p>
                <w:p w:rsidR="005908F5" w:rsidRDefault="005908F5" w:rsidP="005908F5">
                  <w:pPr>
                    <w:spacing w:after="120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Denar BIBA</w:t>
                  </w:r>
                </w:p>
              </w:txbxContent>
            </v:textbox>
          </v:shape>
        </w:pict>
      </w:r>
      <w:r w:rsidR="00DE3C61">
        <w:rPr>
          <w:rFonts w:ascii="Verdana" w:eastAsia="Arial Unicode MS" w:hAnsi="Verdana" w:cs="Arial Unicode MS"/>
          <w:b/>
        </w:rPr>
        <w:t xml:space="preserve">                                                                      </w:t>
      </w:r>
      <w:r w:rsidRPr="00DE3C61">
        <w:rPr>
          <w:rFonts w:ascii="Verdana" w:eastAsia="Arial Unicode MS" w:hAnsi="Verdana" w:cs="Arial Unicode MS"/>
          <w:b/>
        </w:rPr>
        <w:t>EKSPERTI KONTABËL</w:t>
      </w:r>
    </w:p>
    <w:p w:rsidR="005908F5" w:rsidRPr="00DE3C61" w:rsidRDefault="005908F5" w:rsidP="00DE3C61">
      <w:pPr>
        <w:spacing w:after="120" w:line="360" w:lineRule="auto"/>
        <w:jc w:val="both"/>
        <w:rPr>
          <w:rFonts w:ascii="Verdana" w:eastAsia="Arial Unicode MS" w:hAnsi="Verdana" w:cs="Arial Unicode MS"/>
          <w:b/>
        </w:rPr>
      </w:pPr>
      <w:r w:rsidRPr="00DE3C61">
        <w:rPr>
          <w:rFonts w:ascii="Verdana" w:eastAsia="Arial Unicode MS" w:hAnsi="Verdana" w:cs="Arial Unicode MS"/>
          <w:b/>
        </w:rPr>
        <w:t xml:space="preserve">Klement ZGURI                                                      </w:t>
      </w:r>
    </w:p>
    <w:p w:rsidR="004B20F6" w:rsidRDefault="004B20F6" w:rsidP="00DE3C61">
      <w:pPr>
        <w:spacing w:after="120" w:line="360" w:lineRule="auto"/>
        <w:jc w:val="both"/>
        <w:rPr>
          <w:rFonts w:ascii="Verdana" w:hAnsi="Verdana" w:cs="Arial"/>
          <w:b/>
        </w:rPr>
      </w:pPr>
      <w:r w:rsidRPr="00DE3C61">
        <w:rPr>
          <w:rFonts w:ascii="Verdana" w:eastAsia="Arial Unicode MS" w:hAnsi="Verdana" w:cs="Arial Unicode MS"/>
          <w:b/>
        </w:rPr>
        <w:tab/>
      </w:r>
      <w:r w:rsidRPr="00DE3C61">
        <w:rPr>
          <w:rFonts w:ascii="Verdana" w:eastAsia="Arial Unicode MS" w:hAnsi="Verdana" w:cs="Arial Unicode MS"/>
          <w:b/>
        </w:rPr>
        <w:tab/>
      </w:r>
      <w:r w:rsidR="005908F5">
        <w:rPr>
          <w:rFonts w:ascii="Verdana" w:hAnsi="Verdana" w:cs="Arial"/>
        </w:rPr>
        <w:t xml:space="preserve">                                                     </w:t>
      </w:r>
      <w:r w:rsidR="00DE3C61">
        <w:rPr>
          <w:rFonts w:ascii="Verdana" w:hAnsi="Verdana" w:cs="Arial"/>
        </w:rPr>
        <w:tab/>
      </w:r>
      <w:r w:rsidR="00DE3C61">
        <w:rPr>
          <w:rFonts w:ascii="Verdana" w:hAnsi="Verdana" w:cs="Arial"/>
        </w:rPr>
        <w:tab/>
        <w:t xml:space="preserve">    </w:t>
      </w:r>
      <w:r>
        <w:rPr>
          <w:rFonts w:ascii="Verdana" w:hAnsi="Verdana" w:cs="Arial"/>
        </w:rPr>
        <w:t xml:space="preserve">                          </w:t>
      </w:r>
    </w:p>
    <w:p w:rsidR="005908F5" w:rsidRDefault="005908F5" w:rsidP="005908F5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______________                                                          ___________________</w:t>
      </w:r>
    </w:p>
    <w:p w:rsidR="004B20F6" w:rsidRPr="005908F5" w:rsidRDefault="004B20F6" w:rsidP="005908F5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908F5" w:rsidRDefault="005908F5" w:rsidP="005908F5">
      <w:pPr>
        <w:spacing w:after="1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ZV/KRYETAR </w:t>
      </w:r>
    </w:p>
    <w:p w:rsidR="005908F5" w:rsidRDefault="005908F5" w:rsidP="005908F5">
      <w:pPr>
        <w:spacing w:after="1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Denar BIBA</w:t>
      </w:r>
    </w:p>
    <w:p w:rsidR="005908F5" w:rsidRDefault="005908F5" w:rsidP="005908F5">
      <w:pPr>
        <w:spacing w:after="120"/>
        <w:rPr>
          <w:rFonts w:ascii="Verdana" w:hAnsi="Verdana"/>
          <w:b/>
          <w:bCs/>
          <w:sz w:val="24"/>
          <w:szCs w:val="24"/>
        </w:rPr>
      </w:pPr>
    </w:p>
    <w:p w:rsidR="005908F5" w:rsidRPr="005908F5" w:rsidRDefault="005908F5" w:rsidP="005908F5">
      <w:pPr>
        <w:spacing w:after="120"/>
        <w:rPr>
          <w:rFonts w:ascii="Verdana" w:hAnsi="Verdana"/>
          <w:bCs/>
          <w:sz w:val="24"/>
          <w:szCs w:val="24"/>
        </w:rPr>
      </w:pPr>
    </w:p>
    <w:p w:rsidR="005908F5" w:rsidRPr="005908F5" w:rsidRDefault="005908F5" w:rsidP="005908F5">
      <w:pPr>
        <w:spacing w:after="120"/>
        <w:rPr>
          <w:rFonts w:ascii="Verdana" w:hAnsi="Verdana"/>
          <w:bCs/>
          <w:sz w:val="24"/>
          <w:szCs w:val="24"/>
        </w:rPr>
      </w:pPr>
      <w:r w:rsidRPr="005908F5">
        <w:rPr>
          <w:rFonts w:ascii="Verdana" w:hAnsi="Verdana"/>
          <w:bCs/>
          <w:sz w:val="24"/>
          <w:szCs w:val="24"/>
        </w:rPr>
        <w:t>_____________</w:t>
      </w:r>
    </w:p>
    <w:p w:rsidR="004B20F6" w:rsidRDefault="004B20F6" w:rsidP="004B20F6"/>
    <w:p w:rsidR="00FE004A" w:rsidRDefault="00FE004A" w:rsidP="00BF4531">
      <w:pPr>
        <w:spacing w:after="0" w:line="360" w:lineRule="auto"/>
        <w:ind w:left="2340"/>
        <w:jc w:val="right"/>
        <w:rPr>
          <w:rFonts w:ascii="Verdana" w:hAnsi="Verdana"/>
          <w:b/>
          <w:bCs/>
          <w:sz w:val="20"/>
          <w:szCs w:val="20"/>
        </w:rPr>
      </w:pPr>
    </w:p>
    <w:p w:rsidR="00FE004A" w:rsidRDefault="0007350C" w:rsidP="002E4886">
      <w:pPr>
        <w:spacing w:after="0" w:line="360" w:lineRule="auto"/>
        <w:ind w:left="2340"/>
        <w:jc w:val="right"/>
        <w:rPr>
          <w:rFonts w:ascii="Verdana" w:hAnsi="Verdana"/>
          <w:bCs/>
          <w:sz w:val="20"/>
          <w:szCs w:val="20"/>
        </w:rPr>
      </w:pPr>
      <w:r>
        <w:rPr>
          <w:noProof/>
          <w:lang w:val="en-US"/>
        </w:rPr>
        <w:pict>
          <v:shape id="Text Box 1" o:spid="_x0000_s1029" type="#_x0000_t202" style="position:absolute;left:0;text-align:left;margin-left:-55.7pt;margin-top:7.3pt;width:152.1pt;height:53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BS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" stroked="f">
            <v:textbox>
              <w:txbxContent>
                <w:p w:rsidR="003452BB" w:rsidRDefault="003452BB" w:rsidP="00BE2926">
                  <w:pPr>
                    <w:spacing w:after="0" w:line="240" w:lineRule="auto"/>
                    <w:rPr>
                      <w:rFonts w:ascii="Verdana" w:hAnsi="Verdana"/>
                      <w:bCs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004A" w:rsidRPr="00FE004A" w:rsidRDefault="00FE004A" w:rsidP="00FE004A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sectPr w:rsidR="00FE004A" w:rsidRPr="00FE004A" w:rsidSect="00C6358B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AB" w:rsidRDefault="00234BAB" w:rsidP="00BE2926">
      <w:pPr>
        <w:spacing w:after="0" w:line="240" w:lineRule="auto"/>
      </w:pPr>
      <w:r>
        <w:separator/>
      </w:r>
    </w:p>
  </w:endnote>
  <w:endnote w:type="continuationSeparator" w:id="0">
    <w:p w:rsidR="00234BAB" w:rsidRDefault="00234BAB" w:rsidP="00BE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848546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pacing w:val="60"/>
        <w:sz w:val="16"/>
        <w:szCs w:val="16"/>
      </w:rPr>
    </w:sdtEndPr>
    <w:sdtContent>
      <w:p w:rsidR="003452BB" w:rsidRPr="00BE2926" w:rsidRDefault="0064158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E2926">
          <w:rPr>
            <w:rFonts w:ascii="Verdana" w:hAnsi="Verdana"/>
            <w:sz w:val="16"/>
            <w:szCs w:val="16"/>
          </w:rPr>
          <w:fldChar w:fldCharType="begin"/>
        </w:r>
        <w:r w:rsidR="003452BB" w:rsidRPr="00BE292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E2926">
          <w:rPr>
            <w:rFonts w:ascii="Verdana" w:hAnsi="Verdana"/>
            <w:sz w:val="16"/>
            <w:szCs w:val="16"/>
          </w:rPr>
          <w:fldChar w:fldCharType="separate"/>
        </w:r>
        <w:r w:rsidR="0007350C">
          <w:rPr>
            <w:rFonts w:ascii="Verdana" w:hAnsi="Verdana"/>
            <w:noProof/>
            <w:sz w:val="16"/>
            <w:szCs w:val="16"/>
          </w:rPr>
          <w:t>4</w:t>
        </w:r>
        <w:r w:rsidRPr="00BE2926">
          <w:rPr>
            <w:rFonts w:ascii="Verdana" w:hAnsi="Verdana"/>
            <w:noProof/>
            <w:sz w:val="16"/>
            <w:szCs w:val="16"/>
          </w:rPr>
          <w:fldChar w:fldCharType="end"/>
        </w:r>
        <w:r w:rsidR="003452BB" w:rsidRPr="00BE2926">
          <w:rPr>
            <w:rFonts w:ascii="Verdana" w:hAnsi="Verdana"/>
            <w:sz w:val="16"/>
            <w:szCs w:val="16"/>
          </w:rPr>
          <w:t xml:space="preserve"> | </w:t>
        </w:r>
        <w:r w:rsidR="003452BB">
          <w:rPr>
            <w:rFonts w:ascii="Verdana" w:hAnsi="Verdana"/>
            <w:sz w:val="16"/>
            <w:szCs w:val="16"/>
          </w:rPr>
          <w:t>Faqe</w:t>
        </w:r>
      </w:p>
    </w:sdtContent>
  </w:sdt>
  <w:p w:rsidR="003452BB" w:rsidRDefault="00AB6272">
    <w:pPr>
      <w:pStyle w:val="Footer"/>
    </w:pPr>
    <w:r>
      <w:rPr>
        <w:noProof/>
        <w:lang w:val="en-US"/>
      </w:rPr>
      <w:drawing>
        <wp:inline distT="0" distB="0" distL="0" distR="0" wp14:anchorId="7099C1F7" wp14:editId="55B3079B">
          <wp:extent cx="60325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AB" w:rsidRDefault="00234BAB" w:rsidP="00BE2926">
      <w:pPr>
        <w:spacing w:after="0" w:line="240" w:lineRule="auto"/>
      </w:pPr>
      <w:r>
        <w:separator/>
      </w:r>
    </w:p>
  </w:footnote>
  <w:footnote w:type="continuationSeparator" w:id="0">
    <w:p w:rsidR="00234BAB" w:rsidRDefault="00234BAB" w:rsidP="00BE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B9F"/>
    <w:multiLevelType w:val="hybridMultilevel"/>
    <w:tmpl w:val="1B5AB174"/>
    <w:lvl w:ilvl="0" w:tplc="434E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3FE0"/>
    <w:multiLevelType w:val="hybridMultilevel"/>
    <w:tmpl w:val="69EE6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365"/>
    <w:multiLevelType w:val="multilevel"/>
    <w:tmpl w:val="BA7CC4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6F"/>
    <w:rsid w:val="0003734E"/>
    <w:rsid w:val="0007350C"/>
    <w:rsid w:val="000A1639"/>
    <w:rsid w:val="000A4D98"/>
    <w:rsid w:val="000B28D5"/>
    <w:rsid w:val="001122ED"/>
    <w:rsid w:val="00234BAB"/>
    <w:rsid w:val="002615DC"/>
    <w:rsid w:val="00267E8E"/>
    <w:rsid w:val="002A26A9"/>
    <w:rsid w:val="002B1797"/>
    <w:rsid w:val="002B3700"/>
    <w:rsid w:val="002C65BD"/>
    <w:rsid w:val="002E4886"/>
    <w:rsid w:val="003452BB"/>
    <w:rsid w:val="003E2427"/>
    <w:rsid w:val="00435963"/>
    <w:rsid w:val="00450685"/>
    <w:rsid w:val="004B20F6"/>
    <w:rsid w:val="004B763D"/>
    <w:rsid w:val="004C74B6"/>
    <w:rsid w:val="004D38D9"/>
    <w:rsid w:val="005908F5"/>
    <w:rsid w:val="00606CC0"/>
    <w:rsid w:val="00641587"/>
    <w:rsid w:val="006A344D"/>
    <w:rsid w:val="006C5383"/>
    <w:rsid w:val="0070323A"/>
    <w:rsid w:val="0070526F"/>
    <w:rsid w:val="00735517"/>
    <w:rsid w:val="00736201"/>
    <w:rsid w:val="007632BD"/>
    <w:rsid w:val="0076717D"/>
    <w:rsid w:val="007A2467"/>
    <w:rsid w:val="007A4C2E"/>
    <w:rsid w:val="007E408B"/>
    <w:rsid w:val="008637D8"/>
    <w:rsid w:val="008C4F77"/>
    <w:rsid w:val="009377B0"/>
    <w:rsid w:val="009A0D66"/>
    <w:rsid w:val="00AB6272"/>
    <w:rsid w:val="00AD17FD"/>
    <w:rsid w:val="00B454D6"/>
    <w:rsid w:val="00B97139"/>
    <w:rsid w:val="00BE2926"/>
    <w:rsid w:val="00BF4531"/>
    <w:rsid w:val="00C0429A"/>
    <w:rsid w:val="00C6358B"/>
    <w:rsid w:val="00CB1465"/>
    <w:rsid w:val="00CB5E86"/>
    <w:rsid w:val="00D72663"/>
    <w:rsid w:val="00D72913"/>
    <w:rsid w:val="00D9567E"/>
    <w:rsid w:val="00DE3C61"/>
    <w:rsid w:val="00DF1B96"/>
    <w:rsid w:val="00E16F36"/>
    <w:rsid w:val="00E16F72"/>
    <w:rsid w:val="00E73600"/>
    <w:rsid w:val="00F54DA2"/>
    <w:rsid w:val="00F9112A"/>
    <w:rsid w:val="00F94A57"/>
    <w:rsid w:val="00FB0AAC"/>
    <w:rsid w:val="00FC147D"/>
    <w:rsid w:val="00FE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F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B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26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26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86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F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B9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26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E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26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86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2018-05-21T09:25:00Z</cp:lastPrinted>
  <dcterms:created xsi:type="dcterms:W3CDTF">2018-05-15T19:28:00Z</dcterms:created>
  <dcterms:modified xsi:type="dcterms:W3CDTF">2018-05-21T09:25:00Z</dcterms:modified>
</cp:coreProperties>
</file>