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6018463" r:id="rId8"/>
        </w:object>
      </w:r>
    </w:p>
    <w:p w:rsidR="00B82992" w:rsidRDefault="00E1267C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REPUBLIC OF ALBANIA</w:t>
      </w:r>
    </w:p>
    <w:p w:rsidR="00B82992" w:rsidRDefault="00E1267C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CENTRAL ELECTION COMMISSION</w:t>
      </w:r>
    </w:p>
    <w:p w:rsidR="00B82992" w:rsidRDefault="004D4B10" w:rsidP="00B82992">
      <w:pPr>
        <w:jc w:val="center"/>
        <w:rPr>
          <w:b/>
          <w:sz w:val="20"/>
          <w:szCs w:val="20"/>
          <w:lang w:val="sq-AL"/>
        </w:rPr>
      </w:pPr>
      <w:r w:rsidRPr="004D4B10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BB1F5B" w:rsidP="003E6E9C">
      <w:pPr>
        <w:jc w:val="center"/>
        <w:rPr>
          <w:b/>
          <w:lang w:val="sq-AL"/>
        </w:rPr>
      </w:pPr>
      <w:r>
        <w:rPr>
          <w:b/>
          <w:lang w:val="sq-AL"/>
        </w:rPr>
        <w:t>DECISION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BB1F5B" w:rsidRDefault="00BB1F5B" w:rsidP="003E6E9C">
      <w:pPr>
        <w:pStyle w:val="BodyText"/>
        <w:rPr>
          <w:lang w:val="sq-AL"/>
        </w:rPr>
      </w:pPr>
      <w:r>
        <w:rPr>
          <w:lang w:val="sq-AL"/>
        </w:rPr>
        <w:t>ON RETURN OF COMPLAINT NO. 09, SUBMITTED TO THE CEC ON JULY 5, 2013</w:t>
      </w: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 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BB1F5B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>The Central Election Commission, in its meeting on July 9, 2013, with the participation of: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</w:t>
      </w:r>
      <w:r w:rsidR="00BB1F5B">
        <w:rPr>
          <w:b w:val="0"/>
          <w:sz w:val="20"/>
          <w:szCs w:val="20"/>
          <w:lang w:val="sq-AL"/>
        </w:rPr>
        <w:t>fterije</w:t>
      </w:r>
      <w:r w:rsidR="00BB1F5B">
        <w:rPr>
          <w:b w:val="0"/>
          <w:sz w:val="20"/>
          <w:szCs w:val="20"/>
          <w:lang w:val="sq-AL"/>
        </w:rPr>
        <w:tab/>
        <w:t>LUZI (LLESHI)-</w:t>
      </w:r>
      <w:r w:rsidR="00BB1F5B">
        <w:rPr>
          <w:b w:val="0"/>
          <w:sz w:val="20"/>
          <w:szCs w:val="20"/>
          <w:lang w:val="sq-AL"/>
        </w:rPr>
        <w:tab/>
      </w:r>
      <w:r w:rsidR="00BB1F5B">
        <w:rPr>
          <w:b w:val="0"/>
          <w:sz w:val="20"/>
          <w:szCs w:val="20"/>
          <w:lang w:val="sq-AL"/>
        </w:rPr>
        <w:tab/>
        <w:t>Chairwoman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="00BB1F5B">
        <w:rPr>
          <w:b w:val="0"/>
          <w:sz w:val="20"/>
          <w:szCs w:val="20"/>
          <w:lang w:val="sq-AL"/>
        </w:rPr>
        <w:t xml:space="preserve">Member 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BB1F5B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Klement</w:t>
      </w:r>
      <w:r>
        <w:rPr>
          <w:b w:val="0"/>
          <w:sz w:val="20"/>
          <w:szCs w:val="20"/>
          <w:lang w:val="sq-AL"/>
        </w:rPr>
        <w:tab/>
        <w:t>ZGURI-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  <w:r w:rsidR="003E6E9C" w:rsidRPr="00CE79F1">
        <w:rPr>
          <w:b w:val="0"/>
          <w:sz w:val="20"/>
          <w:szCs w:val="20"/>
          <w:lang w:val="sq-AL"/>
        </w:rPr>
        <w:t xml:space="preserve">                           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BB1F5B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Vera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SHTJEFNI-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B1F5B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Reviewed the issue with the following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042106" w:rsidRDefault="00042106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B1F5B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PLAINTIFF</w:t>
      </w:r>
      <w:r w:rsidR="00B82992">
        <w:rPr>
          <w:b/>
          <w:sz w:val="20"/>
          <w:szCs w:val="20"/>
          <w:lang w:val="sq-AL"/>
        </w:rPr>
        <w:t xml:space="preserve">: </w:t>
      </w:r>
      <w:r w:rsidR="00B82992"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 xml:space="preserve">           Alliance for Equality and European Justice </w:t>
      </w:r>
      <w:r w:rsidR="009E05E3" w:rsidRPr="009E05E3">
        <w:rPr>
          <w:b/>
          <w:sz w:val="20"/>
          <w:szCs w:val="20"/>
          <w:lang w:val="sq-AL"/>
        </w:rPr>
        <w:t xml:space="preserve"> 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9E05E3" w:rsidRDefault="00BB1F5B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OBJEC</w:t>
      </w:r>
      <w:r w:rsidR="00B82992">
        <w:rPr>
          <w:b/>
          <w:sz w:val="20"/>
          <w:szCs w:val="20"/>
          <w:lang w:val="sq-AL"/>
        </w:rPr>
        <w:t>T</w:t>
      </w:r>
      <w:r w:rsidR="00B82992">
        <w:rPr>
          <w:sz w:val="20"/>
          <w:szCs w:val="20"/>
          <w:lang w:val="sq-AL"/>
        </w:rPr>
        <w:t xml:space="preserve">: </w:t>
      </w:r>
      <w:r w:rsidR="00B82992"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>On return of the complaint no.</w:t>
      </w:r>
      <w:r w:rsidR="009E05E3">
        <w:rPr>
          <w:sz w:val="20"/>
          <w:szCs w:val="20"/>
          <w:lang w:val="sq-AL"/>
        </w:rPr>
        <w:t>09</w:t>
      </w:r>
      <w:r>
        <w:rPr>
          <w:sz w:val="20"/>
          <w:szCs w:val="20"/>
          <w:lang w:val="sq-AL"/>
        </w:rPr>
        <w:t>, dated</w:t>
      </w:r>
      <w:r w:rsidR="006166E0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>0</w:t>
      </w:r>
      <w:r w:rsidR="003F2DA4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submitted by the Alliance for Equality and Europan Justice, with the object: Objection to the CEC Decision no. 669, dated  03.07.2013, on release of the elections result for the election zone of Berat Region for 2013 parliamentary elections. </w:t>
      </w:r>
      <w:r w:rsidR="009E05E3" w:rsidRPr="009E05E3">
        <w:rPr>
          <w:sz w:val="20"/>
          <w:szCs w:val="20"/>
          <w:lang w:val="sq-AL"/>
        </w:rPr>
        <w:t xml:space="preserve"> </w:t>
      </w:r>
    </w:p>
    <w:p w:rsidR="00BB1F5B" w:rsidRDefault="00BB1F5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B1F5B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LEGAL REFERENCE</w:t>
      </w:r>
      <w:r w:rsidR="00B82992">
        <w:rPr>
          <w:b/>
          <w:sz w:val="20"/>
          <w:szCs w:val="20"/>
          <w:lang w:val="sq-AL"/>
        </w:rPr>
        <w:t xml:space="preserve">: </w:t>
      </w:r>
      <w:r w:rsidRPr="00BB1F5B">
        <w:rPr>
          <w:sz w:val="20"/>
          <w:szCs w:val="20"/>
          <w:lang w:val="sq-AL"/>
        </w:rPr>
        <w:t>Article</w:t>
      </w:r>
      <w:r>
        <w:rPr>
          <w:sz w:val="20"/>
          <w:szCs w:val="20"/>
          <w:lang w:val="sq-AL"/>
        </w:rPr>
        <w:t xml:space="preserve"> 23, item 1, letter</w:t>
      </w:r>
      <w:r w:rsidR="0073753A" w:rsidRPr="00CE79F1">
        <w:rPr>
          <w:sz w:val="20"/>
          <w:szCs w:val="20"/>
          <w:lang w:val="sq-AL"/>
        </w:rPr>
        <w:t xml:space="preserve"> “a”</w:t>
      </w:r>
      <w:r w:rsidR="0073753A">
        <w:rPr>
          <w:sz w:val="20"/>
          <w:szCs w:val="20"/>
          <w:lang w:val="sq-AL"/>
        </w:rPr>
        <w:t xml:space="preserve">, </w:t>
      </w:r>
      <w:r>
        <w:rPr>
          <w:sz w:val="20"/>
          <w:szCs w:val="20"/>
          <w:lang w:val="sq-AL"/>
        </w:rPr>
        <w:t>Article</w:t>
      </w:r>
      <w:r w:rsidR="00042C9D">
        <w:rPr>
          <w:sz w:val="20"/>
          <w:szCs w:val="20"/>
          <w:lang w:val="sq-AL"/>
        </w:rPr>
        <w:t xml:space="preserve"> 129, </w:t>
      </w:r>
      <w:r w:rsidR="00042C9D" w:rsidRPr="00042C9D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item 1, 3, letter (c) and item 4, article</w:t>
      </w:r>
      <w:r w:rsidR="0073753A">
        <w:rPr>
          <w:sz w:val="20"/>
          <w:szCs w:val="20"/>
          <w:lang w:val="sq-AL"/>
        </w:rPr>
        <w:t xml:space="preserve"> 126</w:t>
      </w:r>
      <w:r>
        <w:rPr>
          <w:sz w:val="20"/>
          <w:szCs w:val="20"/>
          <w:lang w:val="sq-AL"/>
        </w:rPr>
        <w:t>, item</w:t>
      </w:r>
      <w:r w:rsidR="00514F5D">
        <w:rPr>
          <w:sz w:val="20"/>
          <w:szCs w:val="20"/>
          <w:lang w:val="sq-AL"/>
        </w:rPr>
        <w:t xml:space="preserve"> 2</w:t>
      </w:r>
      <w:r>
        <w:rPr>
          <w:sz w:val="20"/>
          <w:szCs w:val="20"/>
          <w:lang w:val="sq-AL"/>
        </w:rPr>
        <w:t xml:space="preserve"> of the law no.</w:t>
      </w:r>
      <w:r w:rsidR="0073753A" w:rsidRPr="00CE79F1">
        <w:rPr>
          <w:sz w:val="20"/>
          <w:szCs w:val="20"/>
          <w:lang w:val="sq-AL"/>
        </w:rPr>
        <w:t xml:space="preserve"> 10019, dat</w:t>
      </w:r>
      <w:r>
        <w:rPr>
          <w:bCs/>
          <w:sz w:val="20"/>
          <w:szCs w:val="20"/>
          <w:lang w:val="sq-AL"/>
        </w:rPr>
        <w:t>ed</w:t>
      </w:r>
      <w:r w:rsidR="0073753A" w:rsidRPr="00CE79F1">
        <w:rPr>
          <w:bCs/>
          <w:sz w:val="20"/>
          <w:szCs w:val="20"/>
          <w:lang w:val="sq-AL"/>
        </w:rPr>
        <w:t xml:space="preserve"> 29.12.2008 “</w:t>
      </w:r>
      <w:r>
        <w:rPr>
          <w:sz w:val="20"/>
          <w:szCs w:val="20"/>
          <w:lang w:val="sq-AL"/>
        </w:rPr>
        <w:t xml:space="preserve">The Electoral Code of the Republic of Albania”. 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B1F5B" w:rsidRDefault="00BB1F5B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The CEC, after reviewing the submitted documentation and hearing the discussions of the representatives of political parties,</w:t>
      </w:r>
    </w:p>
    <w:p w:rsidR="00BB1F5B" w:rsidRDefault="00BB1F5B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B1F5B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NOTES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B1F5B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The Alliance for Equality and European Justice has filed a complaint to the CEC which meets the requirements of Article127 of the Electoral Code and is registered in the Election Complaint Register, No. 09, on July</w:t>
      </w:r>
      <w:r w:rsidR="0073753A">
        <w:rPr>
          <w:sz w:val="20"/>
          <w:szCs w:val="20"/>
          <w:lang w:val="sq-AL"/>
        </w:rPr>
        <w:t xml:space="preserve"> </w:t>
      </w:r>
      <w:r w:rsidR="009E05E3">
        <w:rPr>
          <w:sz w:val="20"/>
          <w:szCs w:val="20"/>
          <w:lang w:val="sq-AL"/>
        </w:rPr>
        <w:t>5</w:t>
      </w:r>
      <w:r>
        <w:rPr>
          <w:sz w:val="20"/>
          <w:szCs w:val="20"/>
          <w:lang w:val="sq-AL"/>
        </w:rPr>
        <w:t xml:space="preserve">, </w:t>
      </w:r>
      <w:r w:rsidR="00AB0B15">
        <w:rPr>
          <w:sz w:val="20"/>
          <w:szCs w:val="20"/>
          <w:lang w:val="sq-AL"/>
        </w:rPr>
        <w:t>2013</w:t>
      </w:r>
    </w:p>
    <w:p w:rsidR="00BB1F5B" w:rsidRDefault="00BB1F5B" w:rsidP="00042106">
      <w:pPr>
        <w:jc w:val="both"/>
        <w:rPr>
          <w:bCs/>
          <w:sz w:val="20"/>
          <w:szCs w:val="20"/>
          <w:lang w:val="sq-AL"/>
        </w:rPr>
      </w:pPr>
    </w:p>
    <w:p w:rsidR="00BB1F5B" w:rsidRDefault="00BB1F5B" w:rsidP="0004210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On July 9, </w:t>
      </w:r>
      <w:r w:rsidR="00463086">
        <w:rPr>
          <w:bCs/>
          <w:sz w:val="20"/>
          <w:szCs w:val="20"/>
          <w:lang w:val="sq-AL"/>
        </w:rPr>
        <w:t>2013</w:t>
      </w:r>
      <w:r>
        <w:rPr>
          <w:bCs/>
          <w:sz w:val="20"/>
          <w:szCs w:val="20"/>
          <w:lang w:val="sq-AL"/>
        </w:rPr>
        <w:t>, at</w:t>
      </w:r>
      <w:r w:rsidR="00B82992">
        <w:rPr>
          <w:bCs/>
          <w:sz w:val="20"/>
          <w:szCs w:val="20"/>
          <w:lang w:val="sq-AL"/>
        </w:rPr>
        <w:t xml:space="preserve"> </w:t>
      </w:r>
      <w:r w:rsidR="005A1CB0">
        <w:rPr>
          <w:bCs/>
          <w:sz w:val="20"/>
          <w:szCs w:val="20"/>
          <w:lang w:val="sq-AL"/>
        </w:rPr>
        <w:t>1</w:t>
      </w:r>
      <w:r w:rsidR="009E05E3">
        <w:rPr>
          <w:bCs/>
          <w:sz w:val="20"/>
          <w:szCs w:val="20"/>
          <w:lang w:val="sq-AL"/>
        </w:rPr>
        <w:t>2</w:t>
      </w:r>
      <w:r>
        <w:rPr>
          <w:bCs/>
          <w:sz w:val="20"/>
          <w:szCs w:val="20"/>
          <w:lang w:val="sq-AL"/>
        </w:rPr>
        <w:t xml:space="preserve">.00, after the report of Mrs. Lefterie Lleshi and the discussions of the representatives of political parties, it was found that this election complaint </w:t>
      </w:r>
      <w:r>
        <w:rPr>
          <w:bCs/>
          <w:sz w:val="20"/>
          <w:szCs w:val="20"/>
          <w:lang w:val="sq-AL"/>
        </w:rPr>
        <w:lastRenderedPageBreak/>
        <w:t xml:space="preserve">does not meet the criteria of the form and the requirements of Article 126, item 2 of the Electoral Code. </w:t>
      </w:r>
    </w:p>
    <w:p w:rsidR="00BB1F5B" w:rsidRDefault="00BB1F5B" w:rsidP="00042106">
      <w:pPr>
        <w:jc w:val="both"/>
        <w:rPr>
          <w:bCs/>
          <w:sz w:val="20"/>
          <w:szCs w:val="20"/>
          <w:lang w:val="sq-AL"/>
        </w:rPr>
      </w:pPr>
    </w:p>
    <w:p w:rsidR="00CF4943" w:rsidRDefault="00BB1F5B" w:rsidP="0004210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The complaint does not have attached a copy of the CEC Decision on adoption of the aggregate table of results for the election zone of Berat Region, </w:t>
      </w:r>
      <w:r w:rsidR="00CF4943">
        <w:rPr>
          <w:bCs/>
          <w:sz w:val="20"/>
          <w:szCs w:val="20"/>
          <w:lang w:val="sq-AL"/>
        </w:rPr>
        <w:t>which is the object of complaint filed by the electoral subject to the CEC.</w:t>
      </w:r>
    </w:p>
    <w:p w:rsidR="00CF4943" w:rsidRDefault="00CF4943" w:rsidP="00042106">
      <w:pPr>
        <w:jc w:val="both"/>
        <w:rPr>
          <w:bCs/>
          <w:sz w:val="20"/>
          <w:szCs w:val="20"/>
          <w:lang w:val="sq-AL"/>
        </w:rPr>
      </w:pPr>
    </w:p>
    <w:p w:rsidR="00042106" w:rsidRDefault="00BB1F5B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 </w:t>
      </w:r>
    </w:p>
    <w:p w:rsidR="00CF4943" w:rsidRDefault="00CF4943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Based on article 129, item 3, letter (c) of the Elelctoral Code</w:t>
      </w:r>
      <w:r w:rsidR="00B82992">
        <w:rPr>
          <w:bCs/>
          <w:sz w:val="20"/>
          <w:szCs w:val="20"/>
          <w:lang w:val="sq-AL"/>
        </w:rPr>
        <w:t xml:space="preserve">, </w:t>
      </w:r>
      <w:r>
        <w:rPr>
          <w:bCs/>
          <w:sz w:val="20"/>
          <w:szCs w:val="20"/>
          <w:lang w:val="sq-AL"/>
        </w:rPr>
        <w:t>the CEC makes the preliminary verification of the complaint and in case one of the elements of the fom is missing, decides to return it in order to be completed.</w:t>
      </w:r>
    </w:p>
    <w:p w:rsidR="00CF4943" w:rsidRDefault="00CF4943" w:rsidP="00B82992">
      <w:pPr>
        <w:jc w:val="both"/>
        <w:rPr>
          <w:bCs/>
          <w:sz w:val="20"/>
          <w:szCs w:val="20"/>
          <w:lang w:val="sq-AL"/>
        </w:rPr>
      </w:pPr>
    </w:p>
    <w:p w:rsidR="00CF4943" w:rsidRDefault="00CF4943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CF4943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FOR THESE REASONS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CF4943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The CEC, based on article 21, item</w:t>
      </w:r>
      <w:r w:rsidR="00B82992">
        <w:rPr>
          <w:bCs/>
          <w:sz w:val="20"/>
          <w:szCs w:val="20"/>
          <w:lang w:val="sq-AL"/>
        </w:rPr>
        <w:t xml:space="preserve"> 1,</w:t>
      </w:r>
      <w:r>
        <w:rPr>
          <w:sz w:val="20"/>
          <w:szCs w:val="20"/>
          <w:lang w:val="sq-AL"/>
        </w:rPr>
        <w:t xml:space="preserve"> Article</w:t>
      </w:r>
      <w:r w:rsidR="00B82992">
        <w:rPr>
          <w:sz w:val="20"/>
          <w:szCs w:val="20"/>
          <w:lang w:val="sq-AL"/>
        </w:rPr>
        <w:t xml:space="preserve"> 126,</w:t>
      </w:r>
      <w:r>
        <w:rPr>
          <w:sz w:val="20"/>
          <w:szCs w:val="20"/>
          <w:lang w:val="sq-AL"/>
        </w:rPr>
        <w:t xml:space="preserve"> item</w:t>
      </w:r>
      <w:r w:rsidR="00D82434">
        <w:rPr>
          <w:sz w:val="20"/>
          <w:szCs w:val="20"/>
          <w:lang w:val="sq-AL"/>
        </w:rPr>
        <w:t xml:space="preserve"> 2, </w:t>
      </w:r>
      <w:r>
        <w:rPr>
          <w:sz w:val="20"/>
          <w:szCs w:val="20"/>
          <w:lang w:val="sq-AL"/>
        </w:rPr>
        <w:t>Article 129, item 1, 3, letter (c) and item 4 of the law no.</w:t>
      </w:r>
      <w:r w:rsidR="00B82992">
        <w:rPr>
          <w:sz w:val="20"/>
          <w:szCs w:val="20"/>
          <w:lang w:val="sq-AL"/>
        </w:rPr>
        <w:t xml:space="preserve"> 10019, dat</w:t>
      </w:r>
      <w:r>
        <w:rPr>
          <w:bCs/>
          <w:sz w:val="20"/>
          <w:szCs w:val="20"/>
          <w:lang w:val="sq-AL"/>
        </w:rPr>
        <w:t>ed</w:t>
      </w:r>
      <w:r w:rsidR="00B82992">
        <w:rPr>
          <w:bCs/>
          <w:sz w:val="20"/>
          <w:szCs w:val="20"/>
          <w:lang w:val="sq-AL"/>
        </w:rPr>
        <w:t xml:space="preserve"> 29.12.2008 “</w:t>
      </w:r>
      <w:r>
        <w:rPr>
          <w:sz w:val="20"/>
          <w:szCs w:val="20"/>
          <w:lang w:val="sq-AL"/>
        </w:rPr>
        <w:t xml:space="preserve">The Electoral Code of the Republic of Albania”, 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CF4943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DECIDED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CF4943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To return the complaint filed by the Alliance for Equality and European Justice Party,  no.09, dated </w:t>
      </w:r>
      <w:r w:rsidR="009939F8">
        <w:rPr>
          <w:sz w:val="20"/>
          <w:szCs w:val="20"/>
          <w:lang w:val="sq-AL"/>
        </w:rPr>
        <w:t>0</w:t>
      </w:r>
      <w:r w:rsidR="009E05E3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in order to be completed.  </w:t>
      </w:r>
    </w:p>
    <w:p w:rsidR="00CF4943" w:rsidRDefault="00CF4943" w:rsidP="00C47A5F">
      <w:pPr>
        <w:jc w:val="both"/>
        <w:rPr>
          <w:bCs/>
          <w:sz w:val="20"/>
          <w:szCs w:val="20"/>
          <w:lang w:val="sq-AL"/>
        </w:rPr>
      </w:pPr>
    </w:p>
    <w:p w:rsidR="00042106" w:rsidRDefault="00042106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CF4943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 xml:space="preserve">This Decision comes immediately into effect. 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CF4943" w:rsidP="00CF4943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An apeal can be filed against this complaint in the Electoral College of Tirana Court of Appeals, within five days after its announcement. </w:t>
      </w:r>
      <w:r w:rsidR="00B82992">
        <w:rPr>
          <w:sz w:val="20"/>
          <w:szCs w:val="20"/>
          <w:lang w:val="sq-AL"/>
        </w:rPr>
        <w:t xml:space="preserve"> </w:t>
      </w: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CF4943" w:rsidRPr="00CE79F1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</w:t>
      </w:r>
      <w:r>
        <w:rPr>
          <w:b w:val="0"/>
          <w:sz w:val="20"/>
          <w:szCs w:val="20"/>
          <w:lang w:val="sq-AL"/>
        </w:rPr>
        <w:t>fterije</w:t>
      </w:r>
      <w:r>
        <w:rPr>
          <w:b w:val="0"/>
          <w:sz w:val="20"/>
          <w:szCs w:val="20"/>
          <w:lang w:val="sq-AL"/>
        </w:rPr>
        <w:tab/>
        <w:t>LUZI (LLESHI)-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Chairwoman</w:t>
      </w:r>
    </w:p>
    <w:p w:rsidR="00CF4943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CF4943" w:rsidRPr="00CE79F1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 xml:space="preserve">Member 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CF4943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CF4943" w:rsidRPr="00CE79F1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Klement</w:t>
      </w:r>
      <w:r>
        <w:rPr>
          <w:b w:val="0"/>
          <w:sz w:val="20"/>
          <w:szCs w:val="20"/>
          <w:lang w:val="sq-AL"/>
        </w:rPr>
        <w:tab/>
        <w:t>ZGURI-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  <w:r w:rsidRPr="00CE79F1">
        <w:rPr>
          <w:b w:val="0"/>
          <w:sz w:val="20"/>
          <w:szCs w:val="20"/>
          <w:lang w:val="sq-AL"/>
        </w:rPr>
        <w:t xml:space="preserve">                           </w:t>
      </w:r>
    </w:p>
    <w:p w:rsidR="00CF4943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CF4943" w:rsidRPr="00CE79F1" w:rsidRDefault="00CF4943" w:rsidP="00CF4943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Vera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SHTJEFNI-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Member</w:t>
      </w: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43" w:rsidRDefault="00CF4943">
      <w:r>
        <w:separator/>
      </w:r>
    </w:p>
  </w:endnote>
  <w:endnote w:type="continuationSeparator" w:id="0">
    <w:p w:rsidR="00CF4943" w:rsidRDefault="00CF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43" w:rsidRDefault="00CF494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8255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CF4943" w:rsidRPr="00305233" w:rsidRDefault="00CF4943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>
      <w:rPr>
        <w:b/>
        <w:sz w:val="18"/>
        <w:szCs w:val="18"/>
      </w:rPr>
      <w:t xml:space="preserve">Decision no. 684         Date 09.07.2013   Time: </w:t>
    </w:r>
    <w:proofErr w:type="gramStart"/>
    <w:r>
      <w:rPr>
        <w:b/>
        <w:sz w:val="18"/>
        <w:szCs w:val="18"/>
      </w:rPr>
      <w:t>12.00  hrs</w:t>
    </w:r>
    <w:proofErr w:type="gramEnd"/>
  </w:p>
  <w:p w:rsidR="00CF4943" w:rsidRPr="00B80D5A" w:rsidRDefault="00CF4943" w:rsidP="00B82992">
    <w:pPr>
      <w:pStyle w:val="Footer"/>
      <w:rPr>
        <w:b/>
        <w:sz w:val="18"/>
        <w:szCs w:val="18"/>
      </w:rPr>
    </w:pPr>
  </w:p>
  <w:p w:rsidR="00CF4943" w:rsidRPr="009E05E3" w:rsidRDefault="00CF494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On return of the complaint no.9, </w:t>
    </w:r>
    <w:proofErr w:type="gramStart"/>
    <w:r>
      <w:rPr>
        <w:sz w:val="16"/>
        <w:szCs w:val="16"/>
      </w:rPr>
      <w:t>dated  05.07.2013</w:t>
    </w:r>
    <w:proofErr w:type="gramEnd"/>
    <w:r w:rsidRPr="00063021">
      <w:rPr>
        <w:sz w:val="16"/>
        <w:szCs w:val="16"/>
      </w:rPr>
      <w:t xml:space="preserve"> </w:t>
    </w:r>
    <w:r>
      <w:rPr>
        <w:sz w:val="16"/>
        <w:szCs w:val="16"/>
        <w:lang w:val="sq-AL"/>
      </w:rPr>
      <w:t>filed by</w:t>
    </w:r>
    <w:r w:rsidRPr="00063021">
      <w:rPr>
        <w:sz w:val="16"/>
        <w:szCs w:val="16"/>
        <w:lang w:val="sq-AL"/>
      </w:rPr>
      <w:t xml:space="preserve"> </w:t>
    </w:r>
    <w:r>
      <w:rPr>
        <w:sz w:val="16"/>
        <w:szCs w:val="16"/>
        <w:lang w:val="sq-AL"/>
      </w:rPr>
      <w:t>“Alliance for Equality and European Justice”, in order to be completed</w:t>
    </w:r>
  </w:p>
  <w:p w:rsidR="00CF4943" w:rsidRPr="00024AF8" w:rsidRDefault="00CF4943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43" w:rsidRDefault="00CF4943">
      <w:r>
        <w:separator/>
      </w:r>
    </w:p>
  </w:footnote>
  <w:footnote w:type="continuationSeparator" w:id="0">
    <w:p w:rsidR="00CF4943" w:rsidRDefault="00CF4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106"/>
    <w:rsid w:val="00042C9D"/>
    <w:rsid w:val="00063021"/>
    <w:rsid w:val="00090AE4"/>
    <w:rsid w:val="00100C49"/>
    <w:rsid w:val="00181242"/>
    <w:rsid w:val="002778FA"/>
    <w:rsid w:val="002D65CC"/>
    <w:rsid w:val="00346B3C"/>
    <w:rsid w:val="003A4B0C"/>
    <w:rsid w:val="003E6E9C"/>
    <w:rsid w:val="003E7F39"/>
    <w:rsid w:val="003F2DA4"/>
    <w:rsid w:val="00424144"/>
    <w:rsid w:val="00463086"/>
    <w:rsid w:val="00474749"/>
    <w:rsid w:val="004D4B10"/>
    <w:rsid w:val="004D6DB9"/>
    <w:rsid w:val="00514F5D"/>
    <w:rsid w:val="00542EB0"/>
    <w:rsid w:val="00585409"/>
    <w:rsid w:val="005971CC"/>
    <w:rsid w:val="005A1CB0"/>
    <w:rsid w:val="005B4AFE"/>
    <w:rsid w:val="005F01A0"/>
    <w:rsid w:val="006165C0"/>
    <w:rsid w:val="006166E0"/>
    <w:rsid w:val="006D409A"/>
    <w:rsid w:val="006F781D"/>
    <w:rsid w:val="0073753A"/>
    <w:rsid w:val="00766355"/>
    <w:rsid w:val="00794737"/>
    <w:rsid w:val="008125F8"/>
    <w:rsid w:val="008216BC"/>
    <w:rsid w:val="00876D7B"/>
    <w:rsid w:val="008B7274"/>
    <w:rsid w:val="00942544"/>
    <w:rsid w:val="0096745E"/>
    <w:rsid w:val="009939F8"/>
    <w:rsid w:val="0099453D"/>
    <w:rsid w:val="009E05E3"/>
    <w:rsid w:val="00AB0B15"/>
    <w:rsid w:val="00B03DD0"/>
    <w:rsid w:val="00B1505A"/>
    <w:rsid w:val="00B82992"/>
    <w:rsid w:val="00BB1F5B"/>
    <w:rsid w:val="00C47A5F"/>
    <w:rsid w:val="00CF4943"/>
    <w:rsid w:val="00D82434"/>
    <w:rsid w:val="00E1267C"/>
    <w:rsid w:val="00EF57AE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aladaai</cp:lastModifiedBy>
  <cp:revision>3</cp:revision>
  <cp:lastPrinted>2013-07-09T13:58:00Z</cp:lastPrinted>
  <dcterms:created xsi:type="dcterms:W3CDTF">2013-07-22T14:41:00Z</dcterms:created>
  <dcterms:modified xsi:type="dcterms:W3CDTF">2013-07-22T15:15:00Z</dcterms:modified>
</cp:coreProperties>
</file>