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8" w:rsidRPr="00C9690A" w:rsidRDefault="00995068" w:rsidP="00995068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673759" r:id="rId8"/>
        </w:object>
      </w:r>
    </w:p>
    <w:p w:rsidR="00995068" w:rsidRPr="00C9690A" w:rsidRDefault="00995068" w:rsidP="00995068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995068" w:rsidRPr="00C9690A" w:rsidRDefault="00995068" w:rsidP="0099506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995068" w:rsidRPr="00C9690A" w:rsidRDefault="00995068" w:rsidP="00995068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995068" w:rsidRPr="007B7EE3" w:rsidRDefault="00995068" w:rsidP="00995068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995068" w:rsidRDefault="00995068" w:rsidP="0099506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95068" w:rsidRPr="009825D9" w:rsidRDefault="00995068" w:rsidP="0099506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95068" w:rsidRPr="00C9690A" w:rsidRDefault="00995068" w:rsidP="0099506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995068" w:rsidRPr="00C9690A" w:rsidRDefault="00995068" w:rsidP="00995068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995068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bookmarkStart w:id="0" w:name="OLE_LINK1"/>
      <w:r>
        <w:rPr>
          <w:rFonts w:ascii="Verdana" w:hAnsi="Verdana"/>
          <w:b/>
          <w:sz w:val="22"/>
          <w:szCs w:val="22"/>
          <w:lang w:val="sq-AL"/>
        </w:rPr>
        <w:t>FOR APPROVAL OF OBSERVERS FROM I</w:t>
      </w:r>
      <w:r w:rsidRPr="00995068">
        <w:rPr>
          <w:rFonts w:ascii="Verdana" w:hAnsi="Verdana"/>
          <w:b/>
          <w:sz w:val="22"/>
          <w:szCs w:val="22"/>
          <w:lang w:val="sq-AL"/>
        </w:rPr>
        <w:t>TERNATIONAL RIGHT OF</w:t>
      </w:r>
      <w:r>
        <w:rPr>
          <w:rFonts w:ascii="Verdana" w:hAnsi="Verdana"/>
          <w:b/>
          <w:sz w:val="22"/>
          <w:szCs w:val="22"/>
          <w:lang w:val="sq-AL"/>
        </w:rPr>
        <w:t xml:space="preserve"> HUMAN</w:t>
      </w:r>
      <w:r w:rsidRPr="00995068">
        <w:rPr>
          <w:rFonts w:ascii="Verdana" w:hAnsi="Verdana"/>
          <w:b/>
          <w:sz w:val="22"/>
          <w:szCs w:val="22"/>
          <w:lang w:val="sq-AL"/>
        </w:rPr>
        <w:t xml:space="preserve"> RIGHTS AND FREEDOM</w:t>
      </w:r>
      <w:r>
        <w:rPr>
          <w:rFonts w:ascii="Verdana" w:hAnsi="Verdana"/>
          <w:b/>
          <w:sz w:val="22"/>
          <w:szCs w:val="22"/>
          <w:lang w:val="sq-AL"/>
        </w:rPr>
        <w:t>S (IRHRF</w:t>
      </w:r>
      <w:r w:rsidRPr="00995068">
        <w:rPr>
          <w:rFonts w:ascii="Verdana" w:hAnsi="Verdana"/>
          <w:b/>
          <w:sz w:val="22"/>
          <w:szCs w:val="22"/>
          <w:lang w:val="sq-AL"/>
        </w:rPr>
        <w:t>)</w:t>
      </w:r>
      <w:r>
        <w:rPr>
          <w:rFonts w:ascii="Verdana" w:hAnsi="Verdana"/>
          <w:b/>
          <w:sz w:val="22"/>
          <w:szCs w:val="22"/>
          <w:lang w:val="sq-AL"/>
        </w:rPr>
        <w:t xml:space="preserve"> TO OBSERVE THE ELECTIONS FOR THE ASSEMBLY, ON DATE JUNE 23RD, 2013 </w:t>
      </w:r>
    </w:p>
    <w:bookmarkEnd w:id="0"/>
    <w:p w:rsidR="00995068" w:rsidRPr="00C9690A" w:rsidRDefault="00995068" w:rsidP="00995068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Commission, in the meeting of date June 12.06.2013,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995068" w:rsidRPr="00C9690A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Pr="00C02FC1" w:rsidRDefault="00995068" w:rsidP="00995068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 xml:space="preserve">Approval of observers from International Right of Human Rights and Freedoms (IRHRF) to observe the elections for the Assembly, on date June 23rd, 2013 </w:t>
      </w:r>
    </w:p>
    <w:p w:rsidR="00995068" w:rsidRPr="00B01C9B" w:rsidRDefault="00995068" w:rsidP="00995068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995068" w:rsidRPr="00EC0120" w:rsidRDefault="00995068" w:rsidP="00995068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D160F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29.12.2008 </w:t>
      </w:r>
      <w:r>
        <w:rPr>
          <w:rFonts w:ascii="Verdana" w:hAnsi="Verdana"/>
          <w:sz w:val="22"/>
          <w:lang w:val="sq-AL"/>
        </w:rPr>
        <w:t>"</w:t>
      </w:r>
      <w:r w:rsidRPr="009D160F">
        <w:rPr>
          <w:rFonts w:ascii="Verdana" w:hAnsi="Verdana"/>
          <w:sz w:val="22"/>
          <w:lang w:val="sq-AL"/>
        </w:rPr>
        <w:t>Electoral Code of the Republic of Alb</w:t>
      </w:r>
      <w:r>
        <w:rPr>
          <w:rFonts w:ascii="Verdana" w:hAnsi="Verdana"/>
          <w:sz w:val="22"/>
          <w:lang w:val="sq-AL"/>
        </w:rPr>
        <w:t>ania", amended and Instruction N</w:t>
      </w:r>
      <w:r w:rsidRPr="009D160F">
        <w:rPr>
          <w:rFonts w:ascii="Verdana" w:hAnsi="Verdana"/>
          <w:sz w:val="22"/>
          <w:lang w:val="sq-AL"/>
        </w:rPr>
        <w:t xml:space="preserve">o. 13,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22.04.2009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media"</w:t>
      </w:r>
    </w:p>
    <w:p w:rsidR="00995068" w:rsidRDefault="00995068" w:rsidP="0099506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</w:t>
      </w:r>
    </w:p>
    <w:p w:rsidR="00995068" w:rsidRDefault="00995068" w:rsidP="00995068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95068" w:rsidRPr="00E37D43" w:rsidRDefault="00995068" w:rsidP="0099506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International Right of Human Rights and Freedoms (IRHRF), </w:t>
      </w:r>
      <w:r w:rsidRPr="00995068">
        <w:rPr>
          <w:rFonts w:ascii="Verdana" w:hAnsi="Verdana"/>
          <w:noProof/>
          <w:sz w:val="22"/>
          <w:szCs w:val="22"/>
          <w:lang w:val="sq-AL"/>
        </w:rPr>
        <w:t>is a non-profit organization that works to strengthen and protect the freedoms and human rights and the protection of culture</w:t>
      </w:r>
      <w:r>
        <w:rPr>
          <w:rFonts w:ascii="Verdana" w:hAnsi="Verdana"/>
          <w:noProof/>
          <w:sz w:val="22"/>
          <w:szCs w:val="22"/>
          <w:lang w:val="sq-AL"/>
        </w:rPr>
        <w:t xml:space="preserve">. This organization </w:t>
      </w:r>
      <w:r w:rsidRPr="0015098C">
        <w:rPr>
          <w:rFonts w:ascii="Verdana" w:hAnsi="Verdana"/>
          <w:noProof/>
          <w:sz w:val="22"/>
          <w:szCs w:val="22"/>
          <w:lang w:val="sq-AL"/>
        </w:rPr>
        <w:t>has</w:t>
      </w:r>
      <w:r>
        <w:rPr>
          <w:rFonts w:ascii="Verdana" w:hAnsi="Verdana"/>
          <w:noProof/>
          <w:sz w:val="22"/>
          <w:szCs w:val="22"/>
          <w:lang w:val="sq-AL"/>
        </w:rPr>
        <w:t xml:space="preserve"> presented the request at CEC to accredit 90 long</w:t>
      </w:r>
      <w:r w:rsidRPr="0015098C">
        <w:rPr>
          <w:rFonts w:ascii="Verdana" w:hAnsi="Verdana"/>
          <w:noProof/>
          <w:sz w:val="22"/>
          <w:szCs w:val="22"/>
          <w:lang w:val="sq-AL"/>
        </w:rPr>
        <w:t>-term</w:t>
      </w:r>
      <w:r>
        <w:rPr>
          <w:rFonts w:ascii="Verdana" w:hAnsi="Verdana"/>
          <w:noProof/>
          <w:sz w:val="22"/>
          <w:szCs w:val="22"/>
          <w:lang w:val="sq-AL"/>
        </w:rPr>
        <w:t xml:space="preserve"> and 105 short-term</w:t>
      </w:r>
      <w:r w:rsidRPr="0015098C">
        <w:rPr>
          <w:rFonts w:ascii="Verdana" w:hAnsi="Verdana"/>
          <w:noProof/>
          <w:sz w:val="22"/>
          <w:szCs w:val="22"/>
          <w:lang w:val="sq-AL"/>
        </w:rPr>
        <w:t xml:space="preserve"> observers. From the review of documentation, the Central Election Commission notes that it is within the conditions and requirements set by the Electoral Code.</w:t>
      </w:r>
    </w:p>
    <w:p w:rsidR="00995068" w:rsidRPr="00AB2B50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  <w:t xml:space="preserve"> </w:t>
      </w:r>
    </w:p>
    <w:p w:rsidR="00995068" w:rsidRPr="003508B8" w:rsidRDefault="00995068" w:rsidP="00995068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995068" w:rsidRDefault="00995068" w:rsidP="00995068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FORE THESE REASONS</w:t>
      </w:r>
    </w:p>
    <w:p w:rsidR="00995068" w:rsidRDefault="00995068" w:rsidP="00995068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5098C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15098C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15098C">
        <w:rPr>
          <w:rFonts w:ascii="Verdana" w:hAnsi="Verdana"/>
          <w:sz w:val="22"/>
          <w:szCs w:val="22"/>
          <w:lang w:val="sq-AL"/>
        </w:rPr>
        <w:t>Electoral Code of the Republic of Alb</w:t>
      </w:r>
      <w:r>
        <w:rPr>
          <w:rFonts w:ascii="Verdana" w:hAnsi="Verdana"/>
          <w:sz w:val="22"/>
          <w:szCs w:val="22"/>
          <w:lang w:val="sq-AL"/>
        </w:rPr>
        <w:t>ania", amended and Instruction N</w:t>
      </w:r>
      <w:r w:rsidRPr="0015098C">
        <w:rPr>
          <w:rFonts w:ascii="Verdana" w:hAnsi="Verdana"/>
          <w:sz w:val="22"/>
          <w:szCs w:val="22"/>
          <w:lang w:val="sq-AL"/>
        </w:rPr>
        <w:t xml:space="preserve">o. 13, </w:t>
      </w:r>
      <w:r>
        <w:rPr>
          <w:rFonts w:ascii="Verdana" w:hAnsi="Verdana"/>
          <w:sz w:val="22"/>
          <w:szCs w:val="22"/>
          <w:lang w:val="sq-AL"/>
        </w:rPr>
        <w:t>of date</w:t>
      </w:r>
      <w:r w:rsidRPr="0015098C">
        <w:rPr>
          <w:rFonts w:ascii="Verdana" w:hAnsi="Verdana"/>
          <w:sz w:val="22"/>
          <w:szCs w:val="22"/>
          <w:lang w:val="sq-AL"/>
        </w:rPr>
        <w:t xml:space="preserve"> 22.04.2008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</w:t>
      </w:r>
      <w:r w:rsidRPr="0015098C">
        <w:rPr>
          <w:rFonts w:ascii="Verdana" w:hAnsi="Verdana"/>
          <w:sz w:val="22"/>
          <w:szCs w:val="22"/>
          <w:lang w:val="sq-AL"/>
        </w:rPr>
        <w:t>," Central Election Commission: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995068" w:rsidRPr="007B7EE3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995068" w:rsidRDefault="00995068" w:rsidP="0099506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To approve the request of International Right of Human Rights and Freedoms (IRHRF) for accreditation of 90 long-term and 105 short-term observers to observe the electoral process for Assembly elections of date June 23rd, 2013 based on the list of connection No. 1, attached this decision. </w:t>
      </w:r>
    </w:p>
    <w:p w:rsidR="00995068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95068" w:rsidRPr="00FA3672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95068" w:rsidRPr="00A04FDD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95068" w:rsidRPr="00A04FDD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BF325E" w:rsidRP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sectPr w:rsidR="00BF325E" w:rsidRPr="00995068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FD" w:rsidRDefault="004A74FD" w:rsidP="00995068">
      <w:r>
        <w:separator/>
      </w:r>
    </w:p>
  </w:endnote>
  <w:endnote w:type="continuationSeparator" w:id="0">
    <w:p w:rsidR="004A74FD" w:rsidRDefault="004A74FD" w:rsidP="0099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4A74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0D83" w:rsidRDefault="004A74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4A74FD">
    <w:pPr>
      <w:pStyle w:val="Footer"/>
    </w:pPr>
  </w:p>
  <w:p w:rsidR="00CE0D83" w:rsidRPr="004E2353" w:rsidRDefault="004A74FD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E0D83" w:rsidRPr="004E2353" w:rsidRDefault="004A74FD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6192" wrapcoords="-200 0 -200 21396 21600 21396 21600 0 -200 0">
          <v:imagedata r:id="rId1" o:title="logoperdokngjyra1"/>
        </v:shape>
      </w:pict>
    </w:r>
  </w:p>
  <w:p w:rsidR="00CE0D83" w:rsidRPr="001A3652" w:rsidRDefault="004A74FD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995068">
      <w:rPr>
        <w:rFonts w:ascii="Verdana" w:hAnsi="Verdana"/>
        <w:b/>
        <w:sz w:val="18"/>
        <w:szCs w:val="18"/>
        <w:lang w:val="it-IT"/>
      </w:rPr>
      <w:t xml:space="preserve"> 541</w:t>
    </w:r>
    <w:r>
      <w:rPr>
        <w:rFonts w:ascii="Verdana" w:hAnsi="Verdana"/>
        <w:b/>
        <w:sz w:val="18"/>
        <w:szCs w:val="18"/>
        <w:lang w:val="it-IT"/>
      </w:rPr>
      <w:t xml:space="preserve">  Of Decision</w:t>
    </w:r>
    <w:r>
      <w:rPr>
        <w:rFonts w:ascii="Verdana" w:hAnsi="Verdana"/>
        <w:b/>
        <w:sz w:val="18"/>
        <w:szCs w:val="18"/>
        <w:lang w:val="it-IT"/>
      </w:rPr>
      <w:tab/>
      <w:t xml:space="preserve">          Date 12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</w:t>
    </w:r>
    <w:r>
      <w:rPr>
        <w:rFonts w:ascii="Verdana" w:hAnsi="Verdana"/>
        <w:b/>
        <w:sz w:val="18"/>
        <w:szCs w:val="18"/>
        <w:lang w:val="it-IT"/>
      </w:rPr>
      <w:tab/>
      <w:t xml:space="preserve">    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10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E0D83" w:rsidRPr="00895933" w:rsidRDefault="004A74FD">
    <w:pPr>
      <w:pStyle w:val="Footer"/>
      <w:rPr>
        <w:rFonts w:ascii="Verdana" w:hAnsi="Verdana"/>
        <w:b/>
        <w:sz w:val="18"/>
        <w:szCs w:val="18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E0D83" w:rsidRPr="00895933" w:rsidRDefault="004A74FD" w:rsidP="0089593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>Approval of observers from</w:t>
    </w:r>
    <w:r>
      <w:rPr>
        <w:rFonts w:ascii="Verdana" w:hAnsi="Verdana"/>
        <w:noProof/>
        <w:sz w:val="18"/>
        <w:szCs w:val="18"/>
        <w:lang w:val="sq-AL"/>
      </w:rPr>
      <w:t xml:space="preserve"> </w:t>
    </w:r>
    <w:r w:rsidR="00995068">
      <w:rPr>
        <w:rFonts w:ascii="Verdana" w:hAnsi="Verdana"/>
        <w:noProof/>
        <w:sz w:val="18"/>
        <w:szCs w:val="18"/>
        <w:lang w:val="sq-AL"/>
      </w:rPr>
      <w:t xml:space="preserve">International Right of Human Rights and Freedoms (IRHRF) </w:t>
    </w:r>
    <w:r w:rsidRPr="00895933">
      <w:rPr>
        <w:rFonts w:ascii="Verdana" w:hAnsi="Verdana"/>
        <w:noProof/>
        <w:sz w:val="18"/>
        <w:szCs w:val="18"/>
        <w:lang w:val="sq-AL"/>
      </w:rPr>
      <w:t>to observe the elections for the Assembly, on date June 23rd,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FD" w:rsidRDefault="004A74FD" w:rsidP="00995068">
      <w:r>
        <w:separator/>
      </w:r>
    </w:p>
  </w:footnote>
  <w:footnote w:type="continuationSeparator" w:id="0">
    <w:p w:rsidR="004A74FD" w:rsidRDefault="004A74FD" w:rsidP="00995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5068"/>
    <w:rsid w:val="004A74FD"/>
    <w:rsid w:val="00995068"/>
    <w:rsid w:val="00B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9506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068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9506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95068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9950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5068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95068"/>
  </w:style>
  <w:style w:type="paragraph" w:styleId="BodyText3">
    <w:name w:val="Body Text 3"/>
    <w:basedOn w:val="Normal"/>
    <w:link w:val="BodyText3Char"/>
    <w:rsid w:val="00995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5068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5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068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2204</Characters>
  <Application>Microsoft Office Word</Application>
  <DocSecurity>0</DocSecurity>
  <Lines>18</Lines>
  <Paragraphs>5</Paragraphs>
  <ScaleCrop>false</ScaleCrop>
  <Company>CEC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1</cp:revision>
  <dcterms:created xsi:type="dcterms:W3CDTF">2013-06-25T11:48:00Z</dcterms:created>
  <dcterms:modified xsi:type="dcterms:W3CDTF">2013-06-25T11:56:00Z</dcterms:modified>
</cp:coreProperties>
</file>